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90791B">
        <w:trPr>
          <w:gridBefore w:val="1"/>
          <w:gridAfter w:val="1"/>
          <w:wBefore w:w="28" w:type="dxa"/>
          <w:wAfter w:w="56" w:type="dxa"/>
        </w:trPr>
        <w:tc>
          <w:tcPr>
            <w:tcW w:w="8718" w:type="dxa"/>
            <w:gridSpan w:val="2"/>
          </w:tcPr>
          <w:p w:rsidR="00163279" w:rsidRDefault="00BA67B7" w:rsidP="00BA67B7">
            <w:pPr>
              <w:spacing w:line="360" w:lineRule="auto"/>
              <w:jc w:val="both"/>
              <w:rPr>
                <w:rStyle w:val="TimesNewRomanTimesNewRoman"/>
                <w:rtl/>
              </w:rPr>
            </w:pPr>
            <w:bookmarkStart w:id="0" w:name="_GoBack"/>
            <w:bookmarkEnd w:id="0"/>
            <w:r>
              <w:rPr>
                <w:rFonts w:cs="David"/>
                <w:b/>
                <w:bCs/>
                <w:sz w:val="26"/>
                <w:szCs w:val="26"/>
                <w:rtl/>
              </w:rPr>
              <w:t xml:space="preserve"> </w:t>
            </w:r>
            <w:r w:rsidR="00F941D7">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sidR="00F941D7">
                  <w:rPr>
                    <w:rFonts w:cs="David"/>
                    <w:b/>
                    <w:bCs/>
                    <w:sz w:val="26"/>
                    <w:szCs w:val="26"/>
                    <w:rtl/>
                  </w:rPr>
                  <w:t>שופט בן ציון קבלר</w:t>
                </w:r>
              </w:sdtContent>
            </w:sdt>
            <w:r w:rsidR="00C50277" w:rsidRPr="0000736A">
              <w:rPr>
                <w:rStyle w:val="TimesNewRomanTimesNewRoman"/>
                <w:rtl/>
              </w:rPr>
              <w:t xml:space="preserve"> </w:t>
            </w:r>
          </w:p>
          <w:p w:rsidR="0090791B" w:rsidRPr="00163279" w:rsidRDefault="0090791B" w:rsidP="007F46CA">
            <w:pPr>
              <w:jc w:val="left"/>
              <w:rPr>
                <w:rFonts w:cs="David"/>
                <w:b/>
                <w:bCs/>
                <w:sz w:val="26"/>
                <w:szCs w:val="26"/>
                <w:rtl/>
              </w:rPr>
            </w:pPr>
          </w:p>
        </w:tc>
      </w:tr>
      <w:tr w:rsidR="00EB1D9D" w:rsidTr="002736EA">
        <w:trPr>
          <w:cantSplit/>
          <w:trHeight w:val="724"/>
        </w:trPr>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EB1D9D" w:rsidRDefault="001F266D" w:rsidP="0089339C">
            <w:pPr>
              <w:jc w:val="left"/>
              <w:rPr>
                <w:rFonts w:cs="David"/>
                <w:b/>
                <w:bCs/>
                <w:sz w:val="26"/>
                <w:szCs w:val="26"/>
                <w:rtl/>
              </w:rPr>
            </w:pPr>
            <w:sdt>
              <w:sdtPr>
                <w:rPr>
                  <w:rtl/>
                </w:rPr>
                <w:alias w:val="825"/>
                <w:tag w:val="825"/>
                <w:id w:val="-2140873446"/>
                <w:text w:multiLine="1"/>
              </w:sdtPr>
              <w:sdtEndPr/>
              <w:sdtContent>
                <w:r w:rsidR="0089339C">
                  <w:rPr>
                    <w:rFonts w:cs="David"/>
                    <w:b/>
                    <w:bCs/>
                    <w:sz w:val="26"/>
                    <w:szCs w:val="26"/>
                    <w:rtl/>
                  </w:rPr>
                  <w:t>פרקליטות מחוז מרכז - פלילי</w:t>
                </w:r>
              </w:sdtContent>
            </w:sdt>
            <w:r w:rsidR="0089339C">
              <w:rPr>
                <w:rFonts w:cs="David" w:hint="cs"/>
                <w:b/>
                <w:bCs/>
                <w:sz w:val="26"/>
                <w:szCs w:val="26"/>
                <w:rtl/>
              </w:rPr>
              <w:t xml:space="preserve"> </w:t>
            </w:r>
            <w:sdt>
              <w:sdtPr>
                <w:rPr>
                  <w:b/>
                  <w:bCs/>
                  <w:sz w:val="26"/>
                  <w:szCs w:val="26"/>
                  <w:rtl/>
                </w:rPr>
                <w:alias w:val="2686"/>
                <w:tag w:val="2686"/>
                <w:id w:val="-38594229"/>
                <w:placeholder>
                  <w:docPart w:val="084A8D0F09AC41E58E6E3C2052F2B92D"/>
                </w:placeholder>
                <w:text w:multiLine="1"/>
              </w:sdtPr>
              <w:sdtEndPr/>
              <w:sdtContent>
                <w:r w:rsidR="0089339C">
                  <w:rPr>
                    <w:rFonts w:cs="David"/>
                    <w:b/>
                    <w:bCs/>
                    <w:sz w:val="26"/>
                    <w:szCs w:val="26"/>
                    <w:rtl/>
                  </w:rPr>
                  <w:t>משרדי ממשלה</w:t>
                </w: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r w:rsidR="0089339C">
                  <w:rPr>
                    <w:rFonts w:cs="David"/>
                    <w:b/>
                    <w:bCs/>
                    <w:sz w:val="26"/>
                    <w:szCs w:val="26"/>
                    <w:rtl/>
                  </w:rPr>
                  <w:t>570001671</w:t>
                </w:r>
              </w:sdtContent>
            </w:sdt>
          </w:p>
        </w:tc>
      </w:tr>
      <w:tr w:rsidR="00EB1D9D" w:rsidTr="00C667A1">
        <w:tc>
          <w:tcPr>
            <w:tcW w:w="8802" w:type="dxa"/>
            <w:gridSpan w:val="4"/>
            <w:vAlign w:val="center"/>
          </w:tcPr>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0090791B">
                  <w:rPr>
                    <w:rFonts w:cs="David"/>
                    <w:b/>
                    <w:bCs/>
                    <w:sz w:val="26"/>
                    <w:szCs w:val="26"/>
                    <w:rtl/>
                  </w:rPr>
                  <w:t>נאש</w:t>
                </w:r>
                <w:r>
                  <w:rPr>
                    <w:rFonts w:cs="David"/>
                    <w:b/>
                    <w:bCs/>
                    <w:sz w:val="26"/>
                    <w:szCs w:val="26"/>
                    <w:rtl/>
                  </w:rPr>
                  <w:t>ם</w:t>
                </w:r>
              </w:sdtContent>
            </w:sdt>
          </w:p>
        </w:tc>
        <w:tc>
          <w:tcPr>
            <w:tcW w:w="5922" w:type="dxa"/>
            <w:gridSpan w:val="2"/>
          </w:tcPr>
          <w:p w:rsidR="001705B8" w:rsidRDefault="00F30675" w:rsidP="006531A1">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6531A1">
                  <w:rPr>
                    <w:rFonts w:cs="David" w:hint="cs"/>
                    <w:b/>
                    <w:bCs/>
                    <w:sz w:val="26"/>
                    <w:szCs w:val="26"/>
                    <w:rtl/>
                  </w:rPr>
                  <w:t xml:space="preserve">פלוני </w:t>
                </w:r>
              </w:sdtContent>
            </w:sdt>
            <w:r w:rsidR="0089339C">
              <w:rPr>
                <w:rFonts w:cs="David"/>
                <w:b/>
                <w:bCs/>
                <w:sz w:val="26"/>
                <w:szCs w:val="26"/>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6531A1">
                  <w:rPr>
                    <w:rFonts w:hint="cs"/>
                    <w:b/>
                    <w:bCs/>
                    <w:sz w:val="26"/>
                    <w:szCs w:val="26"/>
                    <w:rtl/>
                  </w:rPr>
                  <w:t xml:space="preserve">קטין </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6531A1">
                  <w:rPr>
                    <w:rFonts w:cs="David" w:hint="cs"/>
                    <w:b/>
                    <w:bCs/>
                    <w:sz w:val="26"/>
                    <w:szCs w:val="26"/>
                    <w:rtl/>
                  </w:rPr>
                  <w:t xml:space="preserve"> </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90791B" w:rsidRDefault="0090791B" w:rsidP="00406F68">
      <w:pPr>
        <w:pStyle w:val="12"/>
        <w:spacing w:line="360" w:lineRule="auto"/>
      </w:pPr>
      <w:r>
        <w:rPr>
          <w:rtl/>
        </w:rPr>
        <w:t>נוכחים</w:t>
      </w:r>
      <w:r>
        <w:rPr>
          <w:b w:val="0"/>
          <w:bCs w:val="0"/>
          <w:u w:val="none"/>
          <w:rtl/>
        </w:rPr>
        <w:t>:</w:t>
      </w:r>
    </w:p>
    <w:p w:rsidR="00406F68" w:rsidRDefault="00406F68" w:rsidP="00406F68">
      <w:pPr>
        <w:spacing w:line="360" w:lineRule="auto"/>
      </w:pPr>
      <w:r>
        <w:rPr>
          <w:rtl/>
        </w:rPr>
        <w:t xml:space="preserve">ב"כ המאשימה עו"ד סרי </w:t>
      </w:r>
      <w:proofErr w:type="spellStart"/>
      <w:r>
        <w:rPr>
          <w:rtl/>
        </w:rPr>
        <w:t>מבאריקי</w:t>
      </w:r>
      <w:proofErr w:type="spellEnd"/>
      <w:r>
        <w:rPr>
          <w:rtl/>
        </w:rPr>
        <w:t xml:space="preserve"> – </w:t>
      </w:r>
      <w:proofErr w:type="spellStart"/>
      <w:r>
        <w:rPr>
          <w:rtl/>
        </w:rPr>
        <w:t>פמ"מ</w:t>
      </w:r>
      <w:proofErr w:type="spellEnd"/>
      <w:r>
        <w:rPr>
          <w:rtl/>
        </w:rPr>
        <w:t xml:space="preserve"> </w:t>
      </w:r>
    </w:p>
    <w:p w:rsidR="0090791B" w:rsidRDefault="0090791B" w:rsidP="006531A1">
      <w:pPr>
        <w:pStyle w:val="12"/>
        <w:spacing w:line="360" w:lineRule="auto"/>
        <w:rPr>
          <w:b w:val="0"/>
          <w:bCs w:val="0"/>
          <w:u w:val="none"/>
        </w:rPr>
      </w:pPr>
      <w:r>
        <w:rPr>
          <w:b w:val="0"/>
          <w:bCs w:val="0"/>
          <w:u w:val="none"/>
          <w:rtl/>
        </w:rPr>
        <w:t xml:space="preserve">ב"כ הנאשם עו"ד </w:t>
      </w:r>
      <w:proofErr w:type="spellStart"/>
      <w:r>
        <w:rPr>
          <w:b w:val="0"/>
          <w:bCs w:val="0"/>
          <w:u w:val="none"/>
          <w:rtl/>
        </w:rPr>
        <w:t>ליזט</w:t>
      </w:r>
      <w:proofErr w:type="spellEnd"/>
      <w:r>
        <w:rPr>
          <w:b w:val="0"/>
          <w:bCs w:val="0"/>
          <w:u w:val="none"/>
          <w:rtl/>
        </w:rPr>
        <w:t xml:space="preserve"> בר שובל </w:t>
      </w:r>
    </w:p>
    <w:p w:rsidR="0090791B" w:rsidRDefault="0090791B" w:rsidP="00406F68">
      <w:pPr>
        <w:pStyle w:val="12"/>
        <w:spacing w:line="360" w:lineRule="auto"/>
        <w:rPr>
          <w:b w:val="0"/>
          <w:bCs w:val="0"/>
          <w:u w:val="none"/>
          <w:rtl/>
        </w:rPr>
      </w:pPr>
      <w:r>
        <w:rPr>
          <w:b w:val="0"/>
          <w:bCs w:val="0"/>
          <w:u w:val="none"/>
          <w:rtl/>
        </w:rPr>
        <w:t>הנאשם בעצמו ואמו</w:t>
      </w:r>
    </w:p>
    <w:p w:rsidR="00406F68" w:rsidRDefault="00406F68" w:rsidP="00406F68">
      <w:pPr>
        <w:spacing w:line="360" w:lineRule="auto"/>
      </w:pPr>
      <w:r>
        <w:rPr>
          <w:rtl/>
        </w:rPr>
        <w:t>קצינת המבחן הגב' אורנה פרש</w:t>
      </w:r>
    </w:p>
    <w:p w:rsidR="00126238" w:rsidRDefault="00126238">
      <w:pPr>
        <w:spacing w:line="360" w:lineRule="auto"/>
        <w:jc w:val="both"/>
        <w:rPr>
          <w:sz w:val="6"/>
          <w:szCs w:val="6"/>
          <w:rtl/>
        </w:rPr>
      </w:pPr>
    </w:p>
    <w:p w:rsidR="00FA4CA6" w:rsidRDefault="00FA4CA6">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FA4CA6" w:rsidRDefault="00FA4CA6" w:rsidP="00FA4CA6">
      <w:pPr>
        <w:spacing w:line="360" w:lineRule="auto"/>
        <w:jc w:val="both"/>
        <w:rPr>
          <w:rFonts w:ascii="Times New Roman" w:hAnsi="Times New Roman"/>
          <w:b/>
          <w:bCs/>
          <w:u w:val="single"/>
          <w:rtl/>
        </w:rPr>
      </w:pPr>
      <w:r>
        <w:rPr>
          <w:rtl/>
        </w:rPr>
        <w:t xml:space="preserve">א. </w:t>
      </w:r>
      <w:r>
        <w:rPr>
          <w:b/>
          <w:bCs/>
          <w:rtl/>
        </w:rPr>
        <w:tab/>
      </w:r>
      <w:r>
        <w:rPr>
          <w:b/>
          <w:bCs/>
          <w:u w:val="single"/>
          <w:rtl/>
        </w:rPr>
        <w:t>כללי</w:t>
      </w:r>
    </w:p>
    <w:p w:rsidR="00FA4CA6" w:rsidRDefault="00FA4CA6" w:rsidP="00FA4CA6">
      <w:pPr>
        <w:spacing w:line="360" w:lineRule="auto"/>
        <w:jc w:val="both"/>
        <w:rPr>
          <w:b/>
          <w:bCs/>
          <w:u w:val="single"/>
          <w:rtl/>
        </w:rPr>
      </w:pPr>
    </w:p>
    <w:p w:rsidR="00FA4CA6" w:rsidRDefault="00FA4CA6" w:rsidP="006531A1">
      <w:pPr>
        <w:spacing w:line="360" w:lineRule="auto"/>
        <w:jc w:val="both"/>
        <w:rPr>
          <w:rtl/>
        </w:rPr>
      </w:pPr>
      <w:r>
        <w:rPr>
          <w:b/>
          <w:bCs/>
          <w:rtl/>
        </w:rPr>
        <w:t>הנאשם</w:t>
      </w:r>
      <w:r>
        <w:rPr>
          <w:rtl/>
        </w:rPr>
        <w:t xml:space="preserve">, יליד 22.8.02, הודה בתאריך 1.7.2021 במסגרת הסדר דיוני, בכתב אישום מתוקן, בעבירה של </w:t>
      </w:r>
      <w:r>
        <w:rPr>
          <w:u w:val="single"/>
          <w:rtl/>
        </w:rPr>
        <w:t>מעשה מגונה באדם ללא הסכמתו</w:t>
      </w:r>
      <w:r>
        <w:rPr>
          <w:rtl/>
        </w:rPr>
        <w:t xml:space="preserve"> – לפי סעיף 348(ג) לחוק העונשין, תשל"ז - 1977 (להלן: "</w:t>
      </w:r>
      <w:r>
        <w:rPr>
          <w:b/>
          <w:bCs/>
          <w:rtl/>
        </w:rPr>
        <w:t>החוק</w:t>
      </w:r>
      <w:r>
        <w:rPr>
          <w:rtl/>
        </w:rPr>
        <w:t xml:space="preserve">"), עבירה של </w:t>
      </w:r>
      <w:r>
        <w:rPr>
          <w:u w:val="single"/>
          <w:rtl/>
        </w:rPr>
        <w:t>הטרדה מינית בקטין (2 עבירות)</w:t>
      </w:r>
      <w:r>
        <w:rPr>
          <w:rtl/>
        </w:rPr>
        <w:t xml:space="preserve"> – לפי סעיף 5(א) רישא יחד עם סעיף 3(א)(5) לחוק הטרדה מינית, </w:t>
      </w:r>
      <w:proofErr w:type="spellStart"/>
      <w:r>
        <w:rPr>
          <w:rtl/>
        </w:rPr>
        <w:t>התשנ"ח</w:t>
      </w:r>
      <w:proofErr w:type="spellEnd"/>
      <w:r>
        <w:rPr>
          <w:rtl/>
        </w:rPr>
        <w:t xml:space="preserve">–1998 ביחד עם סעיף 25 לחוק העונשין. </w:t>
      </w:r>
    </w:p>
    <w:p w:rsidR="00FA4CA6" w:rsidRDefault="00FA4CA6" w:rsidP="00FA4CA6">
      <w:pPr>
        <w:spacing w:line="360" w:lineRule="auto"/>
        <w:jc w:val="both"/>
        <w:rPr>
          <w:rtl/>
        </w:rPr>
      </w:pPr>
    </w:p>
    <w:p w:rsidR="00FA4CA6" w:rsidRDefault="00FA4CA6" w:rsidP="00FA4CA6">
      <w:pPr>
        <w:spacing w:line="360" w:lineRule="auto"/>
        <w:jc w:val="both"/>
        <w:rPr>
          <w:rtl/>
        </w:rPr>
      </w:pPr>
      <w:r>
        <w:rPr>
          <w:rtl/>
        </w:rPr>
        <w:t xml:space="preserve">בתמצית, על פי עובדות האישום הראשון, בסמוך ליום 28.12.2019 פנה הנאשם באמצעות חשבון </w:t>
      </w:r>
      <w:proofErr w:type="spellStart"/>
      <w:r>
        <w:rPr>
          <w:rtl/>
        </w:rPr>
        <w:t>אינסטגרם</w:t>
      </w:r>
      <w:proofErr w:type="spellEnd"/>
      <w:r>
        <w:rPr>
          <w:rtl/>
        </w:rPr>
        <w:t xml:space="preserve"> פיקטיבי </w:t>
      </w:r>
      <w:proofErr w:type="spellStart"/>
      <w:r>
        <w:rPr>
          <w:rtl/>
        </w:rPr>
        <w:t>לא.א</w:t>
      </w:r>
      <w:proofErr w:type="spellEnd"/>
      <w:r>
        <w:rPr>
          <w:rtl/>
        </w:rPr>
        <w:t xml:space="preserve">, קטינה ילידת 22.11.1997 הסובלת מפיגור שכלי, אשר בינה לבין הנאשם אין היכרות מוקדמת. הנאשם שלח </w:t>
      </w:r>
      <w:proofErr w:type="spellStart"/>
      <w:r>
        <w:rPr>
          <w:rtl/>
        </w:rPr>
        <w:t>לא.א</w:t>
      </w:r>
      <w:proofErr w:type="spellEnd"/>
      <w:r>
        <w:rPr>
          <w:rtl/>
        </w:rPr>
        <w:t xml:space="preserve"> הודעות בעלות אופי מיני כמתואר בכתב האישום, וכן תמונות וסרטונים של איבר מין זכרי וכן ביקש ממנה שתענה לו. כשהבחינה בכך אימה של א.א, דרשה מהנאשם לחדול ממעשיו, אך הנאשם המשיך במעשיו.</w:t>
      </w:r>
    </w:p>
    <w:p w:rsidR="00FA4CA6" w:rsidRDefault="00FA4CA6" w:rsidP="00FA4CA6">
      <w:pPr>
        <w:spacing w:line="360" w:lineRule="auto"/>
        <w:jc w:val="both"/>
        <w:rPr>
          <w:rtl/>
        </w:rPr>
      </w:pPr>
    </w:p>
    <w:p w:rsidR="00FA4CA6" w:rsidRDefault="00FA4CA6" w:rsidP="00FA4CA6">
      <w:pPr>
        <w:spacing w:line="360" w:lineRule="auto"/>
        <w:jc w:val="both"/>
        <w:rPr>
          <w:rtl/>
        </w:rPr>
      </w:pPr>
      <w:r>
        <w:rPr>
          <w:rtl/>
        </w:rPr>
        <w:t xml:space="preserve">על פי עובדות האישום השני, בסמוך לתאריך 28.12.2019 פנה הנאשם אל מ.ח, קטינה ילידת 18.2.2008 אשר בינה לבין הנאשם אין היכרות מוקדמת, באמצעות חשבון </w:t>
      </w:r>
      <w:proofErr w:type="spellStart"/>
      <w:r>
        <w:rPr>
          <w:rtl/>
        </w:rPr>
        <w:t>אינסטגרם</w:t>
      </w:r>
      <w:proofErr w:type="spellEnd"/>
      <w:r>
        <w:rPr>
          <w:rtl/>
        </w:rPr>
        <w:t xml:space="preserve"> פיקטיבי ושלח לה הודעות בעלות אופי מיני כמתואר בכתב האישום וביקש ממנה לענות לשיחת וידאו. משנעתרה לבקשתו וענתה לשיחת וידאו מטעמו, הציג הנאשם אביזר מין בדמות איבר מין זכרי. בתגובה לכך ניתקה הקטינה את השיחה.</w:t>
      </w:r>
    </w:p>
    <w:p w:rsidR="00FA4CA6" w:rsidRDefault="00FA4CA6" w:rsidP="00FA4CA6">
      <w:pPr>
        <w:spacing w:line="360" w:lineRule="auto"/>
        <w:jc w:val="both"/>
        <w:rPr>
          <w:rtl/>
        </w:rPr>
      </w:pPr>
    </w:p>
    <w:p w:rsidR="00FA4CA6" w:rsidRDefault="00FA4CA6" w:rsidP="00FA4CA6">
      <w:pPr>
        <w:spacing w:line="360" w:lineRule="auto"/>
        <w:jc w:val="both"/>
        <w:rPr>
          <w:rtl/>
        </w:rPr>
      </w:pPr>
      <w:r>
        <w:rPr>
          <w:rtl/>
        </w:rPr>
        <w:lastRenderedPageBreak/>
        <w:t xml:space="preserve">בסמוך לתאריך 17.1.2020 וכשלושה חודשים עובר למועד זה פנה הנאשם אל א.ש, קטינה ילידת 12.1.2003 באמצעות חשבון </w:t>
      </w:r>
      <w:proofErr w:type="spellStart"/>
      <w:r>
        <w:rPr>
          <w:rtl/>
        </w:rPr>
        <w:t>אינסטגרם</w:t>
      </w:r>
      <w:proofErr w:type="spellEnd"/>
      <w:r>
        <w:rPr>
          <w:rtl/>
        </w:rPr>
        <w:t xml:space="preserve"> פיקטיבי ובאמצעות </w:t>
      </w:r>
      <w:proofErr w:type="spellStart"/>
      <w:r>
        <w:rPr>
          <w:rtl/>
        </w:rPr>
        <w:t>וואטסאפ</w:t>
      </w:r>
      <w:proofErr w:type="spellEnd"/>
      <w:r>
        <w:rPr>
          <w:rtl/>
        </w:rPr>
        <w:t xml:space="preserve"> ושלח לה הודעות והיא השיבה להודעותיו. ביום 17.1.2020 סמוך לשעה 10:56 שלח הנאשם תמונה של איבר מין בדמות איבר מין גברי. </w:t>
      </w:r>
    </w:p>
    <w:p w:rsidR="00FA4CA6" w:rsidRDefault="00FA4CA6" w:rsidP="00FA4CA6">
      <w:pPr>
        <w:spacing w:line="360" w:lineRule="auto"/>
        <w:jc w:val="both"/>
        <w:rPr>
          <w:rtl/>
        </w:rPr>
      </w:pPr>
    </w:p>
    <w:p w:rsidR="00FA4CA6" w:rsidRDefault="00FA4CA6" w:rsidP="00FA4CA6">
      <w:pPr>
        <w:spacing w:line="360" w:lineRule="auto"/>
        <w:jc w:val="both"/>
        <w:rPr>
          <w:b/>
          <w:bCs/>
          <w:u w:val="single"/>
          <w:rtl/>
        </w:rPr>
      </w:pPr>
      <w:r>
        <w:rPr>
          <w:rtl/>
        </w:rPr>
        <w:t xml:space="preserve">ב. </w:t>
      </w:r>
      <w:r>
        <w:rPr>
          <w:b/>
          <w:bCs/>
          <w:rtl/>
        </w:rPr>
        <w:tab/>
      </w:r>
      <w:r>
        <w:rPr>
          <w:b/>
          <w:bCs/>
          <w:u w:val="single"/>
          <w:rtl/>
        </w:rPr>
        <w:t>תסקירי שירות המבחן והשתלשלות ההליך בתמצית</w:t>
      </w:r>
    </w:p>
    <w:p w:rsidR="00FA4CA6" w:rsidRDefault="00FA4CA6" w:rsidP="00FA4CA6">
      <w:pPr>
        <w:spacing w:line="360" w:lineRule="auto"/>
        <w:jc w:val="both"/>
        <w:rPr>
          <w:b/>
          <w:bCs/>
          <w:u w:val="single"/>
          <w:rtl/>
        </w:rPr>
      </w:pPr>
    </w:p>
    <w:p w:rsidR="00FA4CA6" w:rsidRDefault="00FA4CA6" w:rsidP="00FA4CA6">
      <w:pPr>
        <w:spacing w:line="360" w:lineRule="auto"/>
        <w:jc w:val="both"/>
        <w:rPr>
          <w:rtl/>
        </w:rPr>
      </w:pPr>
      <w:r>
        <w:rPr>
          <w:rtl/>
        </w:rPr>
        <w:t xml:space="preserve">תסקיר שירות המבחן מיום 13.2.2022 מפרט את נסיבותיו האישיות והמשפחתיות המורכבות של הנאשם בהרחבה. הוריו של הנאשם נפרדו כשהיה כבן 4. </w:t>
      </w:r>
      <w:proofErr w:type="spellStart"/>
      <w:r>
        <w:rPr>
          <w:rtl/>
        </w:rPr>
        <w:t>לאימו</w:t>
      </w:r>
      <w:proofErr w:type="spellEnd"/>
      <w:r>
        <w:rPr>
          <w:rtl/>
        </w:rPr>
        <w:t xml:space="preserve"> בת נוספת מנישואיה הראשונים. הנאשם מתגורר עם </w:t>
      </w:r>
      <w:proofErr w:type="spellStart"/>
      <w:r>
        <w:rPr>
          <w:rtl/>
        </w:rPr>
        <w:t>אימו</w:t>
      </w:r>
      <w:proofErr w:type="spellEnd"/>
      <w:r>
        <w:rPr>
          <w:rtl/>
        </w:rPr>
        <w:t xml:space="preserve"> ובן זוגה אשר משמש לו דמות אב. אביו של הנאשם נישא מחדש ולו ילד נוסף. </w:t>
      </w:r>
    </w:p>
    <w:p w:rsidR="00FA4CA6" w:rsidRDefault="00FA4CA6" w:rsidP="00FA4CA6">
      <w:pPr>
        <w:spacing w:line="360" w:lineRule="auto"/>
        <w:jc w:val="both"/>
        <w:rPr>
          <w:rtl/>
        </w:rPr>
      </w:pPr>
    </w:p>
    <w:p w:rsidR="00FA4CA6" w:rsidRDefault="00FA4CA6" w:rsidP="006531A1">
      <w:pPr>
        <w:spacing w:line="360" w:lineRule="auto"/>
        <w:jc w:val="both"/>
        <w:rPr>
          <w:rtl/>
        </w:rPr>
      </w:pPr>
      <w:r>
        <w:rPr>
          <w:rtl/>
        </w:rPr>
        <w:t>שירות המבחן התרשם מאם המעורבות באופן מוחלט בחיי בנה ומיחסים קרובים וחמים בניהם. מצד אחד מתקשה להכיר בצרכיו הטיפוליים ומצד שני מתקשה להכיר ביכולותיו ובכוחותיו, מגוננת עליו ומגבילה את עצמאותו. הקשר עם אב היום כמעט ואינו קיים. הנאשם אינו מעוניין בקש</w:t>
      </w:r>
      <w:r w:rsidR="006531A1">
        <w:rPr>
          <w:rFonts w:hint="cs"/>
          <w:rtl/>
        </w:rPr>
        <w:t>ר</w:t>
      </w:r>
      <w:r>
        <w:rPr>
          <w:rtl/>
        </w:rPr>
        <w:t xml:space="preserve"> </w:t>
      </w:r>
      <w:proofErr w:type="spellStart"/>
      <w:r>
        <w:rPr>
          <w:rtl/>
        </w:rPr>
        <w:t>עימו</w:t>
      </w:r>
      <w:proofErr w:type="spellEnd"/>
      <w:r>
        <w:rPr>
          <w:rtl/>
        </w:rPr>
        <w:t xml:space="preserve"> ואינו מרגיש בחסרונו.</w:t>
      </w:r>
    </w:p>
    <w:p w:rsidR="00FA4CA6" w:rsidRDefault="00FA4CA6" w:rsidP="00FA4CA6">
      <w:pPr>
        <w:spacing w:line="360" w:lineRule="auto"/>
        <w:jc w:val="both"/>
        <w:rPr>
          <w:rtl/>
        </w:rPr>
      </w:pPr>
    </w:p>
    <w:p w:rsidR="00FA4CA6" w:rsidRDefault="00FA4CA6" w:rsidP="006531A1">
      <w:pPr>
        <w:spacing w:line="360" w:lineRule="auto"/>
        <w:jc w:val="both"/>
        <w:rPr>
          <w:rtl/>
        </w:rPr>
      </w:pPr>
      <w:r>
        <w:rPr>
          <w:rtl/>
        </w:rPr>
        <w:t>בשנותיו הראשונות היה חשוף לאלימות מצד אביו</w:t>
      </w:r>
      <w:r>
        <w:rPr>
          <w:b/>
          <w:bCs/>
          <w:rtl/>
        </w:rPr>
        <w:t xml:space="preserve">. </w:t>
      </w:r>
      <w:r>
        <w:rPr>
          <w:b/>
          <w:bCs/>
          <w:u w:val="single"/>
          <w:rtl/>
        </w:rPr>
        <w:t>בהיותו בן 6 אושפז בבי"ח פסיכיאטרי למשך 9 חודשים</w:t>
      </w:r>
      <w:r>
        <w:rPr>
          <w:b/>
          <w:bCs/>
          <w:rtl/>
        </w:rPr>
        <w:t xml:space="preserve"> בעקבות התנהגות אלימה בלתי נשלטת והתנהגות מסכנת הכוללת שוטטות ללא השגחה. הוא הוכר </w:t>
      </w:r>
      <w:r>
        <w:rPr>
          <w:b/>
          <w:bCs/>
          <w:u w:val="single"/>
          <w:rtl/>
        </w:rPr>
        <w:t>כקטין נזקק</w:t>
      </w:r>
      <w:r>
        <w:rPr>
          <w:b/>
          <w:bCs/>
          <w:rtl/>
        </w:rPr>
        <w:t xml:space="preserve"> ובסיום האשפוז שולב בפנימייה פוסט אשפוזית "</w:t>
      </w:r>
      <w:r w:rsidR="006531A1">
        <w:rPr>
          <w:rFonts w:hint="cs"/>
          <w:b/>
          <w:bCs/>
          <w:rtl/>
        </w:rPr>
        <w:t>****</w:t>
      </w:r>
      <w:r>
        <w:rPr>
          <w:b/>
          <w:bCs/>
          <w:rtl/>
        </w:rPr>
        <w:t>"</w:t>
      </w:r>
      <w:r>
        <w:rPr>
          <w:rtl/>
        </w:rPr>
        <w:t xml:space="preserve">. ניכר, כי המסגרת היטיבה </w:t>
      </w:r>
      <w:proofErr w:type="spellStart"/>
      <w:r>
        <w:rPr>
          <w:rtl/>
        </w:rPr>
        <w:t>עימו</w:t>
      </w:r>
      <w:proofErr w:type="spellEnd"/>
      <w:r>
        <w:rPr>
          <w:rtl/>
        </w:rPr>
        <w:t xml:space="preserve">, עם זאת חווה קשיים רגשיים, חרדה והתפרצויות זעם רבות ובלתי נשלטות. בעקבות זאת אושפז פעמיים נוספות ושולב בטיפול רגשי והיה במעקבים פסיכיאטריים ונטל טיפול תרופתי. אבחון שנערך לו מצביע על קשיים רבים כמתואר בתסקיר.  </w:t>
      </w:r>
    </w:p>
    <w:p w:rsidR="00FA4CA6" w:rsidRDefault="00FA4CA6" w:rsidP="00FA4CA6">
      <w:pPr>
        <w:spacing w:line="360" w:lineRule="auto"/>
        <w:jc w:val="both"/>
        <w:rPr>
          <w:rtl/>
        </w:rPr>
      </w:pPr>
    </w:p>
    <w:p w:rsidR="00FA4CA6" w:rsidRDefault="00FA4CA6" w:rsidP="006531A1">
      <w:pPr>
        <w:spacing w:line="360" w:lineRule="auto"/>
        <w:jc w:val="both"/>
        <w:rPr>
          <w:rtl/>
        </w:rPr>
      </w:pPr>
      <w:r>
        <w:rPr>
          <w:rtl/>
        </w:rPr>
        <w:t>בגיל 15 שב, על פי בקשתו לקהילה. שולב תחילה בבית ספר "</w:t>
      </w:r>
      <w:r w:rsidR="006531A1">
        <w:rPr>
          <w:rFonts w:hint="cs"/>
          <w:rtl/>
        </w:rPr>
        <w:t>****</w:t>
      </w:r>
      <w:r>
        <w:rPr>
          <w:rtl/>
        </w:rPr>
        <w:t xml:space="preserve">" ללא הצלחה, ובהמשך בתוכנית </w:t>
      </w:r>
      <w:r w:rsidR="006531A1">
        <w:rPr>
          <w:rFonts w:hint="cs"/>
          <w:rtl/>
        </w:rPr>
        <w:t>*****</w:t>
      </w:r>
      <w:r>
        <w:rPr>
          <w:rtl/>
        </w:rPr>
        <w:t xml:space="preserve"> קידום הנוער. הנאשם לא הצליח להתגייס ללמידה אך שמר על תפקוד תקין. מאז סיום לימודיו אינו נמצא בקשר עם גורמי הטיפול או במעקב פסיכיאטרי, לא הצליח להשתלב בעבודה ובמרבית מזמנו הוא חסר מעש. בשנה האחרונה סבל מפציעה ברגלו, עבר ניתוח בברכו וקיבל פטור מהצבא. </w:t>
      </w:r>
    </w:p>
    <w:p w:rsidR="00FA4CA6" w:rsidRDefault="00FA4CA6" w:rsidP="00FA4CA6">
      <w:pPr>
        <w:spacing w:line="360" w:lineRule="auto"/>
        <w:jc w:val="both"/>
        <w:rPr>
          <w:rtl/>
        </w:rPr>
      </w:pPr>
    </w:p>
    <w:p w:rsidR="00FA4CA6" w:rsidRDefault="00FA4CA6" w:rsidP="00FA4CA6">
      <w:pPr>
        <w:spacing w:line="360" w:lineRule="auto"/>
        <w:jc w:val="both"/>
        <w:rPr>
          <w:rtl/>
        </w:rPr>
      </w:pPr>
      <w:r>
        <w:rPr>
          <w:rtl/>
        </w:rPr>
        <w:t xml:space="preserve">בהתייחסו לעבירות הודה במיוחס לו </w:t>
      </w:r>
      <w:r>
        <w:rPr>
          <w:b/>
          <w:bCs/>
          <w:rtl/>
        </w:rPr>
        <w:t>ביטא חרטה ובושה</w:t>
      </w:r>
      <w:r>
        <w:rPr>
          <w:rtl/>
        </w:rPr>
        <w:t xml:space="preserve"> ובדיעבד מכיר </w:t>
      </w:r>
      <w:r>
        <w:rPr>
          <w:b/>
          <w:bCs/>
          <w:rtl/>
        </w:rPr>
        <w:t>במשמעות הפוגעת של מעשיו</w:t>
      </w:r>
      <w:r>
        <w:rPr>
          <w:rtl/>
        </w:rPr>
        <w:t xml:space="preserve">. עם זאת יכולתו להבין את מהות הפגיעה והניצול </w:t>
      </w:r>
      <w:r>
        <w:rPr>
          <w:b/>
          <w:bCs/>
          <w:rtl/>
        </w:rPr>
        <w:t>עודנה ראשונית</w:t>
      </w:r>
      <w:r>
        <w:rPr>
          <w:rtl/>
        </w:rPr>
        <w:t xml:space="preserve"> ומוגבלת וכן קיימת הפחתה בהתייחסותו בראיית חומרת המעשים והיתלות בכך שנעשו במרחב הווירטואלי ולפני זמן רב.  </w:t>
      </w:r>
    </w:p>
    <w:p w:rsidR="00FA4CA6" w:rsidRDefault="00FA4CA6" w:rsidP="00FA4CA6">
      <w:pPr>
        <w:spacing w:line="360" w:lineRule="auto"/>
        <w:jc w:val="both"/>
        <w:rPr>
          <w:rtl/>
        </w:rPr>
      </w:pPr>
      <w:r>
        <w:rPr>
          <w:rtl/>
        </w:rPr>
        <w:lastRenderedPageBreak/>
        <w:t xml:space="preserve">שירות המבחן התרשם, כי הנאשם זקוק להמשך קשר לצורך קבלת מענים לצרכיו הטיפוליים וכי הוא מבטא נכונות ומחויבות לקבלת מענים מוצעים על ידי שירות המבחן. לפיכך, המליץ שירות המבחן על דחיית הדיון בעניינו. </w:t>
      </w:r>
    </w:p>
    <w:p w:rsidR="006531A1" w:rsidRDefault="006531A1" w:rsidP="00FA4CA6">
      <w:pPr>
        <w:spacing w:line="360" w:lineRule="auto"/>
        <w:jc w:val="both"/>
        <w:rPr>
          <w:rtl/>
        </w:rPr>
      </w:pPr>
    </w:p>
    <w:p w:rsidR="00FA4CA6" w:rsidRDefault="00FA4CA6" w:rsidP="00FA4CA6">
      <w:pPr>
        <w:spacing w:line="360" w:lineRule="auto"/>
        <w:jc w:val="both"/>
        <w:rPr>
          <w:rtl/>
        </w:rPr>
      </w:pPr>
      <w:r>
        <w:rPr>
          <w:rtl/>
        </w:rPr>
        <w:t xml:space="preserve">בתסקיר מיום </w:t>
      </w:r>
      <w:r>
        <w:rPr>
          <w:b/>
          <w:bCs/>
          <w:rtl/>
        </w:rPr>
        <w:t xml:space="preserve">19.5.2022 </w:t>
      </w:r>
      <w:r>
        <w:rPr>
          <w:rtl/>
        </w:rPr>
        <w:t xml:space="preserve">עדכן שירות המבחן, כי בתקופת הדחיה המשיך הנאשם לשתף פעולה עם שירות המבחן, הגיע למפגשים אך התקשה לגעת בתכנים המציפים אותו רגשית ואינו מגלה עקביות מבחינת יכולת הפתיחות השיתוף הכנה. הנאשם ביטא הסכמתו להשתלב בקבוצה טיפולית ויופנה אליה בעתיד הקרוב. נוכח זאת סבר שירות המבחן, כי יש צורך לדחות הדיון בעניינו על מנת לבחון התגייסותו להליך הטיפולי. </w:t>
      </w:r>
    </w:p>
    <w:p w:rsidR="00FA4CA6" w:rsidRDefault="00FA4CA6" w:rsidP="00FA4CA6">
      <w:pPr>
        <w:spacing w:line="360" w:lineRule="auto"/>
        <w:jc w:val="both"/>
        <w:rPr>
          <w:rtl/>
        </w:rPr>
      </w:pPr>
    </w:p>
    <w:p w:rsidR="00FA4CA6" w:rsidRDefault="00FA4CA6" w:rsidP="00FA4CA6">
      <w:pPr>
        <w:spacing w:line="360" w:lineRule="auto"/>
        <w:jc w:val="both"/>
        <w:rPr>
          <w:rtl/>
        </w:rPr>
      </w:pPr>
      <w:r>
        <w:rPr>
          <w:rtl/>
        </w:rPr>
        <w:t xml:space="preserve">בתסקיר מיום </w:t>
      </w:r>
      <w:r>
        <w:rPr>
          <w:b/>
          <w:bCs/>
          <w:rtl/>
        </w:rPr>
        <w:t xml:space="preserve">26.12.2022 </w:t>
      </w:r>
      <w:r>
        <w:rPr>
          <w:rtl/>
        </w:rPr>
        <w:t xml:space="preserve">עדכן שירות המבחן, כי בימים אלו מתקיימת בחינת אגף המתאים במחלקת הרווחה, בהתאם לצרכיו ומאפייניו וזאת נוכח התרשמות הפסיכיאטר בביטוח הלאומי כי הנאשם אינו מסוגל לעבוד וזקוק לקצבת נכות. בתקופת הדחיה נעשה ניסיון לשלבו בקבוצה טיפולית בשירות המבחן המתואמת לו, אך הוא ביטא התנגדות ותוקפנות כלפי מנחי הקבוצה ונמצא  כי אינו מתאים. בהמשך ביטא התנגדות להמשך הקשר עם שירות המבחן הן באופן מילולי והן בהיעדרות ממפגשים אליהן הוזמן. בהמשך, לאחר דיון במשפטו כבגיר, הגיע לפגישה בשירות המבחן והביע מוטיבציה חיצונית להגעה לשירות המבחן. הנאשם הגיע לפגישות באופן עקבי והתנהל באופן נינוח. לאור זאת הוחלט לקבוע מחדש לקבוצה טיפולית אך טרם נקבע לו מועד לראיון. נוכח המתואר עתר שירות המבחן לדחיית הדיון בעניינו פעם נוספת.  </w:t>
      </w:r>
    </w:p>
    <w:p w:rsidR="00FA4CA6" w:rsidRDefault="00FA4CA6" w:rsidP="00FA4CA6">
      <w:pPr>
        <w:spacing w:line="360" w:lineRule="auto"/>
        <w:jc w:val="both"/>
        <w:rPr>
          <w:rtl/>
        </w:rPr>
      </w:pPr>
    </w:p>
    <w:p w:rsidR="00FA4CA6" w:rsidRDefault="00FA4CA6" w:rsidP="00FA4CA6">
      <w:pPr>
        <w:spacing w:line="360" w:lineRule="auto"/>
        <w:jc w:val="both"/>
        <w:rPr>
          <w:rtl/>
        </w:rPr>
      </w:pPr>
      <w:r>
        <w:rPr>
          <w:rtl/>
        </w:rPr>
        <w:t xml:space="preserve">בתסקיר מיום </w:t>
      </w:r>
      <w:r>
        <w:rPr>
          <w:b/>
          <w:bCs/>
          <w:rtl/>
        </w:rPr>
        <w:t xml:space="preserve">23.4.2023 </w:t>
      </w:r>
      <w:r>
        <w:rPr>
          <w:rtl/>
        </w:rPr>
        <w:t xml:space="preserve">עדכן שירות המבחן כי לא חל שינוי במצבו התפקודי של הנאשם, אשר נמצא בביתו ללא מסגרת תעסוקתית או לימודית. בוועדה שהתקיימה בביטוח לאומי הוחלט כי הנאשם לא זכאי לקצבת נכות. יצוין כי עד גיל 18, היה הקטין מוכר בביטוח לאומי כזכאי לקצבת נכות על רקע נפשי וקיבל פטור משירות צבאי. </w:t>
      </w:r>
    </w:p>
    <w:p w:rsidR="00FA4CA6" w:rsidRDefault="00FA4CA6" w:rsidP="00FA4CA6">
      <w:pPr>
        <w:spacing w:line="360" w:lineRule="auto"/>
        <w:jc w:val="both"/>
        <w:rPr>
          <w:rtl/>
        </w:rPr>
      </w:pPr>
      <w:r>
        <w:rPr>
          <w:rtl/>
        </w:rPr>
        <w:t xml:space="preserve"> שירות המבחן ביצע ניסיון לשלב את הנאשם בקבוצה טיפולית לנערים שביצעו עבירות מין, המותאמת לנערים בעלי הנמכה קוגניטיבית, בשל העדר מוטיבציה מצד הנאשם, מנחי הקבוצה התרשמו כי הוא אינו מתאים לשם. </w:t>
      </w:r>
    </w:p>
    <w:p w:rsidR="00FA4CA6" w:rsidRDefault="00FA4CA6" w:rsidP="00FA4CA6">
      <w:pPr>
        <w:spacing w:line="360" w:lineRule="auto"/>
        <w:jc w:val="both"/>
        <w:rPr>
          <w:rtl/>
        </w:rPr>
      </w:pPr>
      <w:r>
        <w:rPr>
          <w:rtl/>
        </w:rPr>
        <w:t>הנאשם הגיע לפגישות הפרטניות בשירות המבחן, הנאשם מתקשה להכיר בצרכיו הטיפוליים ומתקשה להתגייס ולהיתרם מקשר טיפולי בתחום ההתנהגות המינית הפוגעת.</w:t>
      </w:r>
    </w:p>
    <w:p w:rsidR="00FA4CA6" w:rsidRDefault="00FA4CA6" w:rsidP="00FA4CA6">
      <w:pPr>
        <w:spacing w:line="360" w:lineRule="auto"/>
        <w:jc w:val="both"/>
        <w:rPr>
          <w:rtl/>
        </w:rPr>
      </w:pPr>
      <w:r>
        <w:rPr>
          <w:b/>
          <w:bCs/>
          <w:rtl/>
        </w:rPr>
        <w:t>הנאשם לוקח אחריות על מעשיו ומבטא חרטה כנה על פגיעותיו במתלוננות</w:t>
      </w:r>
      <w:r>
        <w:rPr>
          <w:rtl/>
        </w:rPr>
        <w:t xml:space="preserve">.  </w:t>
      </w:r>
    </w:p>
    <w:p w:rsidR="00FA4CA6" w:rsidRDefault="00FA4CA6" w:rsidP="00FA4CA6">
      <w:pPr>
        <w:spacing w:line="360" w:lineRule="auto"/>
        <w:jc w:val="both"/>
        <w:rPr>
          <w:rtl/>
        </w:rPr>
      </w:pPr>
    </w:p>
    <w:p w:rsidR="00FA4CA6" w:rsidRDefault="00FA4CA6" w:rsidP="006531A1">
      <w:pPr>
        <w:spacing w:line="360" w:lineRule="auto"/>
        <w:jc w:val="both"/>
        <w:rPr>
          <w:b/>
          <w:bCs/>
          <w:rtl/>
        </w:rPr>
      </w:pPr>
      <w:r>
        <w:rPr>
          <w:rtl/>
        </w:rPr>
        <w:t>שירות המבחן הציע, כי יסייע בתיווך ויצירת קשר עם תכנית "</w:t>
      </w:r>
      <w:r w:rsidR="006531A1">
        <w:rPr>
          <w:rFonts w:hint="cs"/>
          <w:rtl/>
        </w:rPr>
        <w:t>*****</w:t>
      </w:r>
      <w:r>
        <w:rPr>
          <w:rtl/>
        </w:rPr>
        <w:t xml:space="preserve">" המסייעת לצעירים במצבי סיכון שונים.  </w:t>
      </w:r>
      <w:r>
        <w:rPr>
          <w:b/>
          <w:bCs/>
          <w:rtl/>
        </w:rPr>
        <w:t xml:space="preserve">שירות המבחן סבור כי יש להתחשב בחלוף הזמן הרב מאז ביצוע העבירות (מעל 3 שנים), </w:t>
      </w:r>
      <w:r>
        <w:rPr>
          <w:b/>
          <w:bCs/>
          <w:rtl/>
        </w:rPr>
        <w:lastRenderedPageBreak/>
        <w:t xml:space="preserve">אשר במהלכן הנאשם לא בצע עבירות נוספות, הנאשם הבין את הפסול שבמעשיו ונראה כי משתדל ומביא נכונות לקבל המענים המוצעים לו. </w:t>
      </w:r>
    </w:p>
    <w:p w:rsidR="00FA4CA6" w:rsidRDefault="00FA4CA6" w:rsidP="00FA4CA6">
      <w:pPr>
        <w:spacing w:line="360" w:lineRule="auto"/>
        <w:jc w:val="both"/>
        <w:rPr>
          <w:b/>
          <w:bCs/>
          <w:rtl/>
        </w:rPr>
      </w:pPr>
    </w:p>
    <w:p w:rsidR="00FA4CA6" w:rsidRDefault="00FA4CA6" w:rsidP="00FA4CA6">
      <w:pPr>
        <w:spacing w:line="360" w:lineRule="auto"/>
        <w:jc w:val="both"/>
        <w:rPr>
          <w:b/>
          <w:bCs/>
          <w:u w:val="single"/>
          <w:rtl/>
        </w:rPr>
      </w:pPr>
      <w:r>
        <w:rPr>
          <w:rtl/>
        </w:rPr>
        <w:t xml:space="preserve">לנוכח כל האמור, ולאחר שקלול גורמי הסיכון מול גורמי הסיכוי לשיקומו של הנאשם, המליץ שירות המבחן לסיים את עניינו </w:t>
      </w:r>
      <w:r>
        <w:rPr>
          <w:b/>
          <w:bCs/>
          <w:rtl/>
        </w:rPr>
        <w:t>בדרכי טיפול</w:t>
      </w:r>
      <w:r>
        <w:rPr>
          <w:rtl/>
        </w:rPr>
        <w:t xml:space="preserve"> הבאות: </w:t>
      </w:r>
      <w:r>
        <w:rPr>
          <w:b/>
          <w:bCs/>
          <w:u w:val="single"/>
          <w:rtl/>
        </w:rPr>
        <w:t xml:space="preserve">התחייבות להימנע מעבירה, פיצוי למתלוננות </w:t>
      </w:r>
      <w:proofErr w:type="spellStart"/>
      <w:r>
        <w:rPr>
          <w:b/>
          <w:bCs/>
          <w:u w:val="single"/>
          <w:rtl/>
        </w:rPr>
        <w:t>ושל"צ</w:t>
      </w:r>
      <w:proofErr w:type="spellEnd"/>
      <w:r>
        <w:rPr>
          <w:rtl/>
        </w:rPr>
        <w:t>.</w:t>
      </w:r>
    </w:p>
    <w:p w:rsidR="00FA4CA6" w:rsidRDefault="00FA4CA6" w:rsidP="00FA4CA6">
      <w:pPr>
        <w:spacing w:line="360" w:lineRule="auto"/>
        <w:jc w:val="both"/>
        <w:rPr>
          <w:b/>
          <w:bCs/>
          <w:u w:val="single"/>
          <w:rtl/>
        </w:rPr>
      </w:pPr>
    </w:p>
    <w:p w:rsidR="00FA4CA6" w:rsidRDefault="00FA4CA6" w:rsidP="00FA4CA6">
      <w:pPr>
        <w:spacing w:line="360" w:lineRule="auto"/>
        <w:jc w:val="both"/>
        <w:rPr>
          <w:b/>
          <w:bCs/>
          <w:u w:val="single"/>
          <w:rtl/>
        </w:rPr>
      </w:pPr>
      <w:r>
        <w:rPr>
          <w:rtl/>
        </w:rPr>
        <w:t>ג.</w:t>
      </w:r>
      <w:r>
        <w:rPr>
          <w:rtl/>
        </w:rPr>
        <w:tab/>
      </w:r>
      <w:r>
        <w:rPr>
          <w:b/>
          <w:bCs/>
          <w:u w:val="single"/>
          <w:rtl/>
        </w:rPr>
        <w:t>טיעוני הצדדים לעונש בתמצית</w:t>
      </w:r>
    </w:p>
    <w:p w:rsidR="00FA4CA6" w:rsidRDefault="00FA4CA6" w:rsidP="00FA4CA6">
      <w:pPr>
        <w:spacing w:line="360" w:lineRule="auto"/>
        <w:ind w:left="720"/>
        <w:contextualSpacing/>
        <w:jc w:val="both"/>
        <w:rPr>
          <w:b/>
          <w:bCs/>
          <w:u w:val="single"/>
          <w:rtl/>
        </w:rPr>
      </w:pPr>
    </w:p>
    <w:p w:rsidR="00FA4CA6" w:rsidRDefault="00FA4CA6" w:rsidP="00FA4CA6">
      <w:pPr>
        <w:spacing w:line="360" w:lineRule="auto"/>
        <w:jc w:val="both"/>
      </w:pPr>
      <w:r>
        <w:rPr>
          <w:b/>
          <w:bCs/>
          <w:rtl/>
        </w:rPr>
        <w:t>ב"כ המאשימה</w:t>
      </w:r>
      <w:r>
        <w:rPr>
          <w:rtl/>
        </w:rPr>
        <w:t xml:space="preserve"> הפנתה לעובדות כתב האישום. עתרה להרשעה, שכן מדובר בעבירות מין שבוצעו כלפי 3 מתלוננות כששתיים מהן קטינות. הגישה פסיקה התומכת בעמדתה. </w:t>
      </w:r>
      <w:proofErr w:type="spellStart"/>
      <w:r>
        <w:rPr>
          <w:rtl/>
        </w:rPr>
        <w:t>רע"פ</w:t>
      </w:r>
      <w:proofErr w:type="spellEnd"/>
      <w:r>
        <w:rPr>
          <w:rtl/>
        </w:rPr>
        <w:t xml:space="preserve"> 4593/20 ממנו ביקשה לגזור גזירה שווה לעניין הרשעתו וענישתו של הנאשם. כן ביקשה מע"ת פיצוי כספי למתלוננות </w:t>
      </w:r>
      <w:proofErr w:type="spellStart"/>
      <w:r>
        <w:rPr>
          <w:rtl/>
        </w:rPr>
        <w:t>ושל"צ</w:t>
      </w:r>
      <w:proofErr w:type="spellEnd"/>
      <w:r>
        <w:rPr>
          <w:rtl/>
        </w:rPr>
        <w:t xml:space="preserve">. לשאלת בית משפט למועד מסירת מכתב השימוע, ציינה כי זה נמסר ביום 15 לנובמבר 2020 </w:t>
      </w:r>
      <w:proofErr w:type="spellStart"/>
      <w:r>
        <w:rPr>
          <w:rtl/>
        </w:rPr>
        <w:t>לאימו</w:t>
      </w:r>
      <w:proofErr w:type="spellEnd"/>
      <w:r>
        <w:rPr>
          <w:rtl/>
        </w:rPr>
        <w:t xml:space="preserve"> של הנאשם.</w:t>
      </w:r>
    </w:p>
    <w:p w:rsidR="00FA4CA6" w:rsidRDefault="00FA4CA6" w:rsidP="00FA4CA6">
      <w:pPr>
        <w:spacing w:line="360" w:lineRule="auto"/>
        <w:jc w:val="both"/>
      </w:pPr>
    </w:p>
    <w:p w:rsidR="00FA4CA6" w:rsidRDefault="00FA4CA6" w:rsidP="00FA4CA6">
      <w:pPr>
        <w:spacing w:line="360" w:lineRule="auto"/>
        <w:jc w:val="both"/>
        <w:rPr>
          <w:rtl/>
        </w:rPr>
      </w:pPr>
      <w:r>
        <w:rPr>
          <w:b/>
          <w:bCs/>
          <w:rtl/>
        </w:rPr>
        <w:t>ב"כ הנאשם</w:t>
      </w:r>
      <w:r>
        <w:rPr>
          <w:rtl/>
        </w:rPr>
        <w:t xml:space="preserve"> טענה, כי קשה למדוד הצלחה טיפולית. חלפו שלוש וחצי שנים מאז האירועים. הנאשם הגיע לכל פגישות שירות המבחן. הביע חרטה כנה </w:t>
      </w:r>
      <w:proofErr w:type="spellStart"/>
      <w:r>
        <w:rPr>
          <w:rtl/>
        </w:rPr>
        <w:t>ואמיתית</w:t>
      </w:r>
      <w:proofErr w:type="spellEnd"/>
      <w:r>
        <w:rPr>
          <w:rtl/>
        </w:rPr>
        <w:t xml:space="preserve">. הפנתה לקשיים ולמורכבות במצבו של הנאשם. הדגישה את ההנמכה הקוגניטיבית הקיימת. יש לשיטתה, לתאם הציפיות לפי היכולות של הנאשם. ציינה, כי כבר בגיל 6 היה הנאשם מאושפז במוסדות פסיכיאטריים ואף הוכר </w:t>
      </w:r>
      <w:r>
        <w:rPr>
          <w:b/>
          <w:bCs/>
          <w:rtl/>
        </w:rPr>
        <w:t>כקטין נזקק</w:t>
      </w:r>
      <w:r>
        <w:rPr>
          <w:rtl/>
        </w:rPr>
        <w:t xml:space="preserve">. עוד ציינה, כי לנאשם תיק נוסף אשר הוגש גם הוא (כמו תיק זה) בחודש דצמבר 2020 </w:t>
      </w:r>
      <w:r>
        <w:rPr>
          <w:b/>
          <w:bCs/>
          <w:rtl/>
        </w:rPr>
        <w:t>ומאז לא נפתחו תיקים.</w:t>
      </w:r>
      <w:r>
        <w:rPr>
          <w:rtl/>
        </w:rPr>
        <w:t xml:space="preserve"> הפנתה לכך, כי כתב האישום הוגש קרוב למועד ההתיישנות. ביקשה כי לא יוטל </w:t>
      </w:r>
      <w:proofErr w:type="spellStart"/>
      <w:r>
        <w:rPr>
          <w:rtl/>
        </w:rPr>
        <w:t>של"צ</w:t>
      </w:r>
      <w:proofErr w:type="spellEnd"/>
      <w:r>
        <w:rPr>
          <w:rtl/>
        </w:rPr>
        <w:t xml:space="preserve"> וחלף זאת תוטל התחייבות גבוהה. הנאשם אינו עובד ולכן גם פיצוי צריך שיהיה מידתי. ביקשה לאמץ דרכי הטיפול. הדגישה, כי הנאשם לא ידע על מצבה האובייקטיבי של המתלוננת באישום הראשון. ציינה כי השימוע נערך ב21/12/20202 (בזום) קרוב למועד ההתיישנות.</w:t>
      </w:r>
    </w:p>
    <w:p w:rsidR="00FA4CA6" w:rsidRDefault="00FA4CA6" w:rsidP="00FA4CA6">
      <w:pPr>
        <w:spacing w:line="360" w:lineRule="auto"/>
        <w:jc w:val="both"/>
        <w:rPr>
          <w:rtl/>
        </w:rPr>
      </w:pPr>
    </w:p>
    <w:p w:rsidR="00FA4CA6" w:rsidRDefault="00FA4CA6" w:rsidP="00FA4CA6">
      <w:pPr>
        <w:spacing w:line="360" w:lineRule="auto"/>
        <w:jc w:val="both"/>
        <w:rPr>
          <w:rtl/>
        </w:rPr>
      </w:pPr>
      <w:r>
        <w:rPr>
          <w:b/>
          <w:bCs/>
          <w:rtl/>
        </w:rPr>
        <w:t>הנאשם</w:t>
      </w:r>
      <w:r>
        <w:rPr>
          <w:rtl/>
        </w:rPr>
        <w:t xml:space="preserve"> בדברו האחרון אמר, כי הוא מצטער על המעשים. לוקח אחריות על המעשים הבטיח כי לא יעז לעשות שוב מעשים שכאלו. הדגיש כי שיתף פעולה עם שירות המבחן.</w:t>
      </w:r>
    </w:p>
    <w:p w:rsidR="00FA4CA6" w:rsidRDefault="00FA4CA6" w:rsidP="00FA4CA6">
      <w:pPr>
        <w:spacing w:line="360" w:lineRule="auto"/>
        <w:jc w:val="both"/>
        <w:rPr>
          <w:rtl/>
        </w:rPr>
      </w:pPr>
    </w:p>
    <w:p w:rsidR="00FA4CA6" w:rsidRDefault="00FA4CA6" w:rsidP="00FA4CA6">
      <w:pPr>
        <w:spacing w:line="360" w:lineRule="auto"/>
        <w:jc w:val="both"/>
        <w:rPr>
          <w:rtl/>
        </w:rPr>
      </w:pPr>
      <w:r>
        <w:rPr>
          <w:rtl/>
        </w:rPr>
        <w:t>ד.</w:t>
      </w:r>
      <w:r>
        <w:rPr>
          <w:rtl/>
        </w:rPr>
        <w:tab/>
      </w:r>
      <w:r>
        <w:rPr>
          <w:b/>
          <w:bCs/>
          <w:u w:val="single"/>
          <w:rtl/>
        </w:rPr>
        <w:t>דיון והכרעה</w:t>
      </w:r>
    </w:p>
    <w:p w:rsidR="00FA4CA6" w:rsidRDefault="00FA4CA6" w:rsidP="00FA4CA6">
      <w:pPr>
        <w:pStyle w:val="ac"/>
        <w:spacing w:line="360" w:lineRule="auto"/>
        <w:jc w:val="both"/>
        <w:rPr>
          <w:rFonts w:ascii="Times New Roman" w:eastAsia="Times New Roman" w:hAnsi="Times New Roman" w:cs="David"/>
          <w:b/>
          <w:bCs/>
          <w:sz w:val="24"/>
          <w:szCs w:val="24"/>
          <w:u w:val="single"/>
        </w:rPr>
      </w:pPr>
    </w:p>
    <w:p w:rsidR="00FA4CA6" w:rsidRDefault="00FA4CA6" w:rsidP="00FA4CA6">
      <w:pPr>
        <w:pStyle w:val="ac"/>
        <w:spacing w:line="360" w:lineRule="auto"/>
        <w:ind w:left="0"/>
        <w:jc w:val="both"/>
        <w:rPr>
          <w:rFonts w:cs="David"/>
          <w:sz w:val="24"/>
          <w:szCs w:val="24"/>
          <w:rtl/>
        </w:rPr>
      </w:pPr>
      <w:r>
        <w:rPr>
          <w:rFonts w:ascii="Calibri" w:eastAsia="Calibri" w:hAnsi="Calibri" w:cs="David"/>
          <w:sz w:val="24"/>
          <w:szCs w:val="24"/>
          <w:rtl/>
        </w:rPr>
        <w:t xml:space="preserve">הנאשם כיום בגיר כבן 20.8, עומד לדין לראשונה בגין עבירות של מעשה מגונה והטרדה מינית (2 עבירות). </w:t>
      </w:r>
      <w:r>
        <w:rPr>
          <w:rFonts w:cs="David"/>
          <w:sz w:val="24"/>
          <w:szCs w:val="24"/>
          <w:rtl/>
        </w:rPr>
        <w:t xml:space="preserve">האירועים פורטו בהרחבה בפתיח. הנאשם הודה במיוחס לו, הביע חרטה ולקח אחריות על מעשיו. </w:t>
      </w:r>
    </w:p>
    <w:p w:rsidR="00FA4CA6" w:rsidRDefault="00FA4CA6" w:rsidP="00FA4CA6">
      <w:pPr>
        <w:pStyle w:val="ac"/>
        <w:spacing w:line="360" w:lineRule="auto"/>
        <w:ind w:left="0"/>
        <w:jc w:val="both"/>
        <w:rPr>
          <w:rFonts w:cs="David"/>
          <w:sz w:val="24"/>
          <w:szCs w:val="24"/>
        </w:rPr>
      </w:pPr>
    </w:p>
    <w:p w:rsidR="00FA4CA6" w:rsidRDefault="00FA4CA6" w:rsidP="00FA4CA6">
      <w:pPr>
        <w:pStyle w:val="ac"/>
        <w:spacing w:line="360" w:lineRule="auto"/>
        <w:ind w:left="0"/>
        <w:jc w:val="both"/>
        <w:rPr>
          <w:rFonts w:cs="David"/>
          <w:b/>
          <w:bCs/>
          <w:sz w:val="24"/>
          <w:szCs w:val="24"/>
        </w:rPr>
      </w:pPr>
      <w:r>
        <w:rPr>
          <w:rFonts w:cs="David"/>
          <w:sz w:val="24"/>
          <w:szCs w:val="24"/>
          <w:rtl/>
        </w:rPr>
        <w:lastRenderedPageBreak/>
        <w:t>נסיבות חייו של הנאשם מורכבות, כפי שתואר בהרחבה בתסקיר, ומגיל צעיר נאלץ הוא להתמודד עם קשיים פיזיים, רגשיים וחברתיים.</w:t>
      </w:r>
      <w:r>
        <w:rPr>
          <w:rFonts w:ascii="Calibri" w:eastAsia="Calibri" w:hAnsi="Calibri" w:cs="David"/>
          <w:sz w:val="24"/>
          <w:szCs w:val="24"/>
          <w:rtl/>
        </w:rPr>
        <w:t xml:space="preserve"> </w:t>
      </w:r>
      <w:r>
        <w:rPr>
          <w:rFonts w:cs="David"/>
          <w:b/>
          <w:bCs/>
          <w:sz w:val="24"/>
          <w:szCs w:val="24"/>
          <w:rtl/>
        </w:rPr>
        <w:t xml:space="preserve"> אביו של הנאשם היה אלים ביותר כלפי </w:t>
      </w:r>
      <w:proofErr w:type="spellStart"/>
      <w:r>
        <w:rPr>
          <w:rFonts w:cs="David"/>
          <w:b/>
          <w:bCs/>
          <w:sz w:val="24"/>
          <w:szCs w:val="24"/>
          <w:rtl/>
        </w:rPr>
        <w:t>אימו</w:t>
      </w:r>
      <w:proofErr w:type="spellEnd"/>
      <w:r>
        <w:rPr>
          <w:rFonts w:cs="David"/>
          <w:b/>
          <w:bCs/>
          <w:sz w:val="24"/>
          <w:szCs w:val="24"/>
          <w:rtl/>
        </w:rPr>
        <w:t xml:space="preserve"> וחלק מהמעשים בוצעו לעיני הנאשם.</w:t>
      </w:r>
    </w:p>
    <w:p w:rsidR="00FA4CA6" w:rsidRDefault="00FA4CA6" w:rsidP="00FA4CA6">
      <w:pPr>
        <w:pStyle w:val="ac"/>
        <w:rPr>
          <w:rFonts w:cs="David"/>
          <w:b/>
          <w:bCs/>
          <w:sz w:val="24"/>
          <w:szCs w:val="24"/>
        </w:rPr>
      </w:pPr>
    </w:p>
    <w:p w:rsidR="00FA4CA6" w:rsidRDefault="00FA4CA6" w:rsidP="00FA4CA6">
      <w:pPr>
        <w:pStyle w:val="ac"/>
        <w:spacing w:line="360" w:lineRule="auto"/>
        <w:ind w:left="0"/>
        <w:jc w:val="both"/>
        <w:rPr>
          <w:rFonts w:cs="David"/>
          <w:b/>
          <w:bCs/>
          <w:sz w:val="24"/>
          <w:szCs w:val="24"/>
        </w:rPr>
      </w:pPr>
      <w:r>
        <w:rPr>
          <w:rFonts w:cs="David"/>
          <w:b/>
          <w:bCs/>
          <w:sz w:val="24"/>
          <w:szCs w:val="24"/>
          <w:rtl/>
        </w:rPr>
        <w:t>הנאשם הוכר כקטין נזקק, בהיותו בן 6 אושפז בבי"ח פסיכיאטרי למשך 9 חודשים ובסיום האשפוז שולב בפנימייה פוסט אשפוזית</w:t>
      </w:r>
      <w:r>
        <w:rPr>
          <w:rFonts w:cs="David"/>
          <w:sz w:val="24"/>
          <w:szCs w:val="24"/>
          <w:rtl/>
        </w:rPr>
        <w:t xml:space="preserve">. בהמשך עבר מסגרות שונות ורק בהגיעו </w:t>
      </w:r>
      <w:r>
        <w:rPr>
          <w:rFonts w:cs="David"/>
          <w:b/>
          <w:bCs/>
          <w:sz w:val="24"/>
          <w:szCs w:val="24"/>
          <w:rtl/>
        </w:rPr>
        <w:t>לגיל 15</w:t>
      </w:r>
      <w:r>
        <w:rPr>
          <w:rFonts w:cs="David"/>
          <w:sz w:val="24"/>
          <w:szCs w:val="24"/>
          <w:rtl/>
        </w:rPr>
        <w:t xml:space="preserve"> חזר לקהילה. כמו כן, </w:t>
      </w:r>
      <w:r>
        <w:rPr>
          <w:rFonts w:cs="David"/>
          <w:b/>
          <w:bCs/>
          <w:sz w:val="24"/>
          <w:szCs w:val="24"/>
          <w:rtl/>
        </w:rPr>
        <w:t xml:space="preserve">עד גיל 18 הנאשם היה מוכר כבעל נכות נפשית בביטוח לאומי ואף קיבל פטור משירות צבאי.  </w:t>
      </w:r>
    </w:p>
    <w:p w:rsidR="00FA4CA6" w:rsidRDefault="00FA4CA6" w:rsidP="00FA4CA6">
      <w:pPr>
        <w:pStyle w:val="ac"/>
        <w:spacing w:line="360" w:lineRule="auto"/>
        <w:jc w:val="both"/>
        <w:rPr>
          <w:rFonts w:ascii="Calibri" w:eastAsia="Calibri" w:hAnsi="Calibri" w:cs="David"/>
          <w:sz w:val="24"/>
          <w:szCs w:val="24"/>
          <w:rtl/>
        </w:rPr>
      </w:pPr>
    </w:p>
    <w:p w:rsidR="00FA4CA6" w:rsidRDefault="00FA4CA6" w:rsidP="00FA4CA6">
      <w:pPr>
        <w:pStyle w:val="ac"/>
        <w:spacing w:line="360" w:lineRule="auto"/>
        <w:ind w:left="0"/>
        <w:jc w:val="both"/>
        <w:rPr>
          <w:rFonts w:cs="David"/>
          <w:sz w:val="24"/>
          <w:szCs w:val="24"/>
          <w:rtl/>
        </w:rPr>
      </w:pPr>
      <w:r>
        <w:rPr>
          <w:rFonts w:cs="David"/>
          <w:sz w:val="24"/>
          <w:szCs w:val="24"/>
          <w:rtl/>
        </w:rPr>
        <w:t xml:space="preserve">הנאשם שיתף פעולה עם שירות המבחן. אומנם התקשה הוא להשתתף בהליך הקבוצתי אליו הופנה ואולם נראה כי שיתוף הפעולה הניב תוצאות טיפוליות דרך הליך הטיפולי הפרטני. </w:t>
      </w:r>
    </w:p>
    <w:p w:rsidR="00FA4CA6" w:rsidRDefault="00FA4CA6" w:rsidP="00FA4CA6">
      <w:pPr>
        <w:pStyle w:val="ac"/>
        <w:spacing w:line="360" w:lineRule="auto"/>
        <w:ind w:left="0"/>
        <w:jc w:val="both"/>
        <w:rPr>
          <w:rFonts w:cs="David"/>
          <w:sz w:val="24"/>
          <w:szCs w:val="24"/>
          <w:rtl/>
        </w:rPr>
      </w:pPr>
      <w:r>
        <w:rPr>
          <w:rFonts w:cs="David"/>
          <w:sz w:val="24"/>
          <w:szCs w:val="24"/>
          <w:rtl/>
        </w:rPr>
        <w:t xml:space="preserve">ניכר, כי הנאשם הבין ומבין את חומרת מעשיו, את השלכותיהם והנזק שגרם למתלוננות ונראה כי הרקע לביצוען היה תחושה של חוסר ביטחון ובדידות. </w:t>
      </w:r>
    </w:p>
    <w:p w:rsidR="00FA4CA6" w:rsidRDefault="00FA4CA6" w:rsidP="00FA4CA6">
      <w:pPr>
        <w:pStyle w:val="ac"/>
        <w:spacing w:line="360" w:lineRule="auto"/>
        <w:jc w:val="both"/>
        <w:rPr>
          <w:rFonts w:cs="David"/>
          <w:sz w:val="24"/>
          <w:szCs w:val="24"/>
          <w:rtl/>
        </w:rPr>
      </w:pPr>
    </w:p>
    <w:p w:rsidR="00FA4CA6" w:rsidRDefault="00FA4CA6" w:rsidP="00FA4CA6">
      <w:pPr>
        <w:pStyle w:val="ac"/>
        <w:spacing w:line="360" w:lineRule="auto"/>
        <w:ind w:left="0"/>
        <w:jc w:val="both"/>
        <w:rPr>
          <w:rFonts w:ascii="David" w:hAnsi="David" w:cs="David"/>
          <w:sz w:val="24"/>
          <w:szCs w:val="24"/>
        </w:rPr>
      </w:pPr>
      <w:r>
        <w:rPr>
          <w:rFonts w:ascii="David" w:hAnsi="David" w:cs="David"/>
          <w:sz w:val="24"/>
          <w:szCs w:val="24"/>
          <w:rtl/>
        </w:rPr>
        <w:t xml:space="preserve">עוד אציין, בזהירות המתבקשת, ומבלי להקל ראש בעובדות כתב האישום, כי </w:t>
      </w:r>
      <w:r>
        <w:rPr>
          <w:rFonts w:ascii="David" w:hAnsi="David" w:cs="David"/>
          <w:b/>
          <w:bCs/>
          <w:sz w:val="24"/>
          <w:szCs w:val="24"/>
          <w:rtl/>
        </w:rPr>
        <w:t>העבירות בוצעו במרחב הווירטואלי</w:t>
      </w:r>
      <w:r>
        <w:rPr>
          <w:rFonts w:ascii="David" w:hAnsi="David" w:cs="David"/>
          <w:sz w:val="24"/>
          <w:szCs w:val="24"/>
          <w:rtl/>
        </w:rPr>
        <w:t xml:space="preserve"> – ואדייק – יש היכן שהתיאור העובדתי של עבירות מתחום המין יסכון לבדו אל מול כל טיעון לענישה מקילה  - לא כך פני הדברים בתיק שלפנינו.</w:t>
      </w:r>
    </w:p>
    <w:p w:rsidR="00FA4CA6" w:rsidRDefault="00FA4CA6" w:rsidP="00FA4CA6">
      <w:pPr>
        <w:pStyle w:val="ac"/>
        <w:rPr>
          <w:rFonts w:ascii="David" w:hAnsi="David" w:cs="David"/>
          <w:sz w:val="24"/>
          <w:szCs w:val="24"/>
          <w:rtl/>
        </w:rPr>
      </w:pPr>
    </w:p>
    <w:p w:rsidR="00FA4CA6" w:rsidRDefault="00FA4CA6" w:rsidP="00FA4CA6">
      <w:pPr>
        <w:pStyle w:val="ac"/>
        <w:spacing w:line="360" w:lineRule="auto"/>
        <w:ind w:left="0"/>
        <w:jc w:val="both"/>
        <w:rPr>
          <w:rFonts w:ascii="David" w:hAnsi="David" w:cs="David"/>
          <w:sz w:val="24"/>
          <w:szCs w:val="24"/>
        </w:rPr>
      </w:pPr>
      <w:r>
        <w:rPr>
          <w:rFonts w:ascii="David" w:hAnsi="David" w:cs="David"/>
          <w:sz w:val="24"/>
          <w:szCs w:val="24"/>
          <w:rtl/>
        </w:rPr>
        <w:t xml:space="preserve">ביצוע העבירות במרחב הווירטואלי ובכלל זה, ואולי בפרט, עבירות מין הוא קל ונגיש. נדמה כי חובה להעביר לבני הנוער מסר חד-משמעי לעניין חומרת הדברים מצד אחד ולסכנות מצד שני. ביצוע העבירה אינו מצריך תחכום ודי במכשיר טלפון נייד, אפליקציה נפוצה ומכאן הדרך קצרה אל האמור. לכאורה, אין המדובר בתכנון רב-שלבי או בתחכום - הדברים מתפרשים הן </w:t>
      </w:r>
      <w:proofErr w:type="spellStart"/>
      <w:r>
        <w:rPr>
          <w:rFonts w:ascii="David" w:hAnsi="David" w:cs="David"/>
          <w:sz w:val="24"/>
          <w:szCs w:val="24"/>
          <w:rtl/>
        </w:rPr>
        <w:t>לקולא</w:t>
      </w:r>
      <w:proofErr w:type="spellEnd"/>
      <w:r>
        <w:rPr>
          <w:rFonts w:ascii="David" w:hAnsi="David" w:cs="David"/>
          <w:sz w:val="24"/>
          <w:szCs w:val="24"/>
          <w:rtl/>
        </w:rPr>
        <w:t xml:space="preserve"> והן </w:t>
      </w:r>
      <w:proofErr w:type="spellStart"/>
      <w:r>
        <w:rPr>
          <w:rFonts w:ascii="David" w:hAnsi="David" w:cs="David"/>
          <w:sz w:val="24"/>
          <w:szCs w:val="24"/>
          <w:rtl/>
        </w:rPr>
        <w:t>לחומרא</w:t>
      </w:r>
      <w:proofErr w:type="spellEnd"/>
      <w:r>
        <w:rPr>
          <w:rFonts w:ascii="David" w:hAnsi="David" w:cs="David"/>
          <w:sz w:val="24"/>
          <w:szCs w:val="24"/>
          <w:rtl/>
        </w:rPr>
        <w:t>.</w:t>
      </w:r>
    </w:p>
    <w:p w:rsidR="00FA4CA6" w:rsidRDefault="00FA4CA6" w:rsidP="00FA4CA6">
      <w:pPr>
        <w:pStyle w:val="ac"/>
        <w:rPr>
          <w:rFonts w:ascii="David" w:hAnsi="David" w:cs="David"/>
          <w:sz w:val="24"/>
          <w:szCs w:val="24"/>
          <w:rtl/>
        </w:rPr>
      </w:pPr>
    </w:p>
    <w:p w:rsidR="00FA4CA6" w:rsidRDefault="00FA4CA6" w:rsidP="00FA4CA6">
      <w:pPr>
        <w:pStyle w:val="ac"/>
        <w:spacing w:line="360" w:lineRule="auto"/>
        <w:jc w:val="both"/>
        <w:rPr>
          <w:rFonts w:ascii="David" w:hAnsi="David" w:cs="David"/>
          <w:sz w:val="24"/>
          <w:szCs w:val="24"/>
        </w:rPr>
      </w:pPr>
    </w:p>
    <w:p w:rsidR="00FA4CA6" w:rsidRDefault="00FA4CA6" w:rsidP="00FA4CA6">
      <w:pPr>
        <w:pStyle w:val="ac"/>
        <w:spacing w:after="0" w:line="360" w:lineRule="auto"/>
        <w:ind w:left="0"/>
        <w:jc w:val="both"/>
        <w:rPr>
          <w:rFonts w:ascii="David" w:eastAsia="David" w:hAnsi="David" w:cs="David"/>
          <w:sz w:val="24"/>
          <w:szCs w:val="24"/>
          <w:rtl/>
        </w:rPr>
      </w:pPr>
      <w:r>
        <w:rPr>
          <w:rFonts w:ascii="David" w:eastAsia="David" w:hAnsi="David" w:cs="David"/>
          <w:sz w:val="24"/>
          <w:szCs w:val="24"/>
          <w:rtl/>
        </w:rPr>
        <w:t xml:space="preserve">בית משפט העליון עמד לא אחת על הצורך להגן על קורבנות עבירות מין וחזר והדגיש פעמים רבות כי האינטרס הציבורי מחייב הטלת ענישה מרתיעה כנגד עברייני מין [ראו לדוגמה: ע"פ 6346/11 </w:t>
      </w:r>
      <w:r>
        <w:rPr>
          <w:rFonts w:ascii="David" w:eastAsia="David" w:hAnsi="David" w:cs="David"/>
          <w:b/>
          <w:bCs/>
          <w:sz w:val="24"/>
          <w:szCs w:val="24"/>
          <w:rtl/>
        </w:rPr>
        <w:t>מדינת ישראל נ' שמואלי</w:t>
      </w:r>
      <w:r>
        <w:rPr>
          <w:rFonts w:ascii="David" w:eastAsia="David" w:hAnsi="David" w:cs="David"/>
          <w:sz w:val="24"/>
          <w:szCs w:val="24"/>
          <w:rtl/>
        </w:rPr>
        <w:t xml:space="preserve">, (פורסם בנבו, 7.2.12); ע"פ 5084/12 </w:t>
      </w:r>
      <w:r>
        <w:rPr>
          <w:rFonts w:ascii="David" w:eastAsia="David" w:hAnsi="David" w:cs="David"/>
          <w:b/>
          <w:bCs/>
          <w:sz w:val="24"/>
          <w:szCs w:val="24"/>
          <w:rtl/>
        </w:rPr>
        <w:t>שקורי נ' מדינת ישראל</w:t>
      </w:r>
      <w:r>
        <w:rPr>
          <w:rFonts w:ascii="David" w:eastAsia="David" w:hAnsi="David" w:cs="David"/>
          <w:sz w:val="24"/>
          <w:szCs w:val="24"/>
          <w:rtl/>
        </w:rPr>
        <w:t>, (פורסם בנבו, 15.9.13)].</w:t>
      </w:r>
    </w:p>
    <w:p w:rsidR="00FA4CA6" w:rsidRDefault="00FA4CA6" w:rsidP="00FA4CA6">
      <w:pPr>
        <w:pStyle w:val="ac"/>
        <w:spacing w:after="0" w:line="360" w:lineRule="auto"/>
        <w:jc w:val="both"/>
        <w:rPr>
          <w:rFonts w:ascii="David" w:eastAsia="David" w:hAnsi="David" w:cs="David"/>
          <w:sz w:val="24"/>
          <w:szCs w:val="24"/>
          <w:rtl/>
        </w:rPr>
      </w:pPr>
    </w:p>
    <w:p w:rsidR="00FA4CA6" w:rsidRDefault="00FA4CA6" w:rsidP="00FA4CA6">
      <w:pPr>
        <w:pStyle w:val="ac"/>
        <w:spacing w:after="0" w:line="360" w:lineRule="auto"/>
        <w:ind w:left="0"/>
        <w:jc w:val="both"/>
        <w:rPr>
          <w:rFonts w:ascii="David" w:eastAsia="David" w:hAnsi="David" w:cs="David"/>
          <w:sz w:val="24"/>
          <w:szCs w:val="24"/>
          <w:rtl/>
        </w:rPr>
      </w:pPr>
      <w:r>
        <w:rPr>
          <w:rFonts w:ascii="David" w:eastAsia="David" w:hAnsi="David" w:cs="David"/>
          <w:sz w:val="24"/>
          <w:szCs w:val="24"/>
          <w:rtl/>
        </w:rPr>
        <w:t xml:space="preserve">עם זאת, כידוע, הענישה לעולם אינדיבידואלית ואנו מצויים בגזירת דינו של נאשם. שני משפטים אלו אמורים להביא אותנו למידתיות הנכונה ולמאזן הנכון בתיק בו אנו עוסקים. </w:t>
      </w:r>
    </w:p>
    <w:p w:rsidR="00FA4CA6" w:rsidRDefault="00FA4CA6" w:rsidP="00FA4CA6">
      <w:pPr>
        <w:pStyle w:val="ac"/>
        <w:rPr>
          <w:rFonts w:ascii="David" w:eastAsia="David" w:hAnsi="David" w:cs="David"/>
          <w:sz w:val="24"/>
          <w:szCs w:val="24"/>
        </w:rPr>
      </w:pPr>
    </w:p>
    <w:p w:rsidR="00FA4CA6" w:rsidRDefault="00FA4CA6" w:rsidP="00FA4CA6">
      <w:pPr>
        <w:pStyle w:val="ac"/>
        <w:spacing w:after="0" w:line="360" w:lineRule="auto"/>
        <w:ind w:left="0"/>
        <w:jc w:val="both"/>
        <w:rPr>
          <w:rFonts w:ascii="David" w:eastAsia="David" w:hAnsi="David" w:cs="David"/>
          <w:sz w:val="24"/>
          <w:szCs w:val="24"/>
          <w:rtl/>
        </w:rPr>
      </w:pPr>
      <w:r>
        <w:rPr>
          <w:rFonts w:ascii="David" w:eastAsia="David" w:hAnsi="David" w:cs="David"/>
          <w:sz w:val="24"/>
          <w:szCs w:val="24"/>
          <w:rtl/>
        </w:rPr>
        <w:t xml:space="preserve">סעיף 1א (א) הפותח את חוק הנוער (שפיטה ענישה ודרכי טיפול) התשל"א-1971, מציין במפורש, כי "מימוש זכויותיו של קטין, הפעלת סמכויות ונקיטת הליכים כלפיו ייעשו תוך שמירה על כבודו של הקטין, </w:t>
      </w:r>
      <w:r>
        <w:rPr>
          <w:rFonts w:ascii="David" w:eastAsia="David" w:hAnsi="David" w:cs="David"/>
          <w:b/>
          <w:bCs/>
          <w:sz w:val="24"/>
          <w:szCs w:val="24"/>
          <w:rtl/>
        </w:rPr>
        <w:t xml:space="preserve">ומתן משקל ראוי לשיקולים של שיקומו, הטיפול בו, שילובו בחברה ותקנת השבים וכן </w:t>
      </w:r>
      <w:r>
        <w:rPr>
          <w:rFonts w:ascii="David" w:eastAsia="David" w:hAnsi="David" w:cs="David"/>
          <w:b/>
          <w:bCs/>
          <w:sz w:val="24"/>
          <w:szCs w:val="24"/>
          <w:rtl/>
        </w:rPr>
        <w:lastRenderedPageBreak/>
        <w:t>בהתחשב בגילו ובמידת בגרותו</w:t>
      </w:r>
      <w:r>
        <w:rPr>
          <w:rFonts w:ascii="David" w:eastAsia="David" w:hAnsi="David" w:cs="David"/>
          <w:sz w:val="24"/>
          <w:szCs w:val="24"/>
          <w:rtl/>
        </w:rPr>
        <w:t>" (הדגשות אינן במקור-ב.ק) – הנה כי כן אלו האדנים עליהם עלינו לפסוע.</w:t>
      </w:r>
    </w:p>
    <w:p w:rsidR="00FA4CA6" w:rsidRDefault="00FA4CA6" w:rsidP="00FA4CA6">
      <w:pPr>
        <w:pStyle w:val="ac"/>
        <w:rPr>
          <w:rFonts w:ascii="David" w:eastAsia="David" w:hAnsi="David" w:cs="David"/>
          <w:sz w:val="24"/>
          <w:szCs w:val="24"/>
        </w:rPr>
      </w:pPr>
    </w:p>
    <w:p w:rsidR="00FA4CA6" w:rsidRDefault="00FA4CA6" w:rsidP="00FA4CA6">
      <w:pPr>
        <w:pStyle w:val="ac"/>
        <w:spacing w:after="0" w:line="360" w:lineRule="auto"/>
        <w:ind w:left="0"/>
        <w:jc w:val="both"/>
        <w:rPr>
          <w:rFonts w:ascii="David" w:eastAsia="David" w:hAnsi="David" w:cs="David"/>
          <w:sz w:val="24"/>
          <w:szCs w:val="24"/>
          <w:rtl/>
        </w:rPr>
      </w:pPr>
      <w:r>
        <w:rPr>
          <w:rFonts w:ascii="David" w:eastAsia="David" w:hAnsi="David" w:cs="David"/>
          <w:sz w:val="24"/>
          <w:szCs w:val="24"/>
          <w:rtl/>
        </w:rPr>
        <w:t xml:space="preserve">אם כך, תפקיד בית המשפט בכלל, ובית המשפט לנוער בפרט, לערוך מלאכת האיזון במאבק התמידי בין שיקולי שיקום הנאשם לבין שיקולי הרתעת הנאשם ואחרים מביצוע עבירות דומות בעתיד, זאת באופן שיגלם את האינטרס הציבורי הנכון ביותר בנסיבות של כל מקרה ומקרה (ראו: דברי כב' השופטת ע' ארבל בע"פ 1463/09 </w:t>
      </w:r>
      <w:r>
        <w:rPr>
          <w:rFonts w:ascii="David" w:eastAsia="David" w:hAnsi="David" w:cs="David"/>
          <w:b/>
          <w:bCs/>
          <w:sz w:val="24"/>
          <w:szCs w:val="24"/>
          <w:rtl/>
        </w:rPr>
        <w:t>מדינת ישראל נ' פלוני</w:t>
      </w:r>
      <w:r>
        <w:rPr>
          <w:rFonts w:ascii="David" w:eastAsia="David" w:hAnsi="David" w:cs="David"/>
          <w:sz w:val="24"/>
          <w:szCs w:val="24"/>
          <w:rtl/>
        </w:rPr>
        <w:t xml:space="preserve"> (פורסם בנבו, ניתן ביום 15.6.09)). מטבע הדברים, בקביעת האיזון בין השיקולים הנוגדים נוטה הכף לטובת ההליך השיקומי, אולם קטינות אינה חסינות בפני ענישה הולמת כשהנסיבות מצדיקות. זאת, בטרם יורה בית המשפט על העדפת האפיק השיקומי, עליו לשקול האינטרסים הציבוריים הראויים להגנה בנסיבות העניין, ובמיוחד מהו הסיכוי לשיקומו של הנאשם (ראו דברי כבוד השופט א. שהם בע"פ 735/12 </w:t>
      </w:r>
      <w:r>
        <w:rPr>
          <w:rFonts w:ascii="David" w:eastAsia="David" w:hAnsi="David" w:cs="David"/>
          <w:b/>
          <w:bCs/>
          <w:sz w:val="24"/>
          <w:szCs w:val="24"/>
          <w:rtl/>
        </w:rPr>
        <w:t>פלוני נ' מדינת ישראל</w:t>
      </w:r>
      <w:r>
        <w:rPr>
          <w:rFonts w:ascii="David" w:eastAsia="David" w:hAnsi="David" w:cs="David"/>
          <w:sz w:val="24"/>
          <w:szCs w:val="24"/>
          <w:rtl/>
        </w:rPr>
        <w:t xml:space="preserve"> (פורסם בנבו, 29.8.13)).</w:t>
      </w:r>
    </w:p>
    <w:p w:rsidR="00FA4CA6" w:rsidRDefault="00FA4CA6" w:rsidP="00FA4CA6">
      <w:pPr>
        <w:pStyle w:val="ac"/>
        <w:spacing w:after="0" w:line="360" w:lineRule="auto"/>
        <w:jc w:val="both"/>
        <w:rPr>
          <w:rFonts w:ascii="David" w:eastAsia="David" w:hAnsi="David" w:cs="David"/>
          <w:b/>
          <w:bCs/>
          <w:sz w:val="24"/>
          <w:szCs w:val="24"/>
          <w:rtl/>
        </w:rPr>
      </w:pPr>
    </w:p>
    <w:p w:rsidR="00FA4CA6" w:rsidRDefault="00FA4CA6" w:rsidP="00FA4CA6">
      <w:pPr>
        <w:pStyle w:val="ac"/>
        <w:spacing w:after="0" w:line="360" w:lineRule="auto"/>
        <w:ind w:left="0"/>
        <w:jc w:val="both"/>
        <w:rPr>
          <w:rFonts w:ascii="David" w:eastAsia="David" w:hAnsi="David" w:cs="David"/>
          <w:sz w:val="24"/>
          <w:szCs w:val="24"/>
          <w:rtl/>
        </w:rPr>
      </w:pPr>
      <w:r>
        <w:rPr>
          <w:rFonts w:ascii="David" w:eastAsia="David" w:hAnsi="David" w:cs="David"/>
          <w:sz w:val="24"/>
          <w:szCs w:val="24"/>
          <w:rtl/>
        </w:rPr>
        <w:t xml:space="preserve">יפים לעניין זה, דברי כב' השופט ס' ג'ובראן, בע"פ 7228/11 </w:t>
      </w:r>
      <w:r>
        <w:rPr>
          <w:rFonts w:ascii="David" w:eastAsia="David" w:hAnsi="David" w:cs="David"/>
          <w:b/>
          <w:bCs/>
          <w:sz w:val="24"/>
          <w:szCs w:val="24"/>
          <w:rtl/>
        </w:rPr>
        <w:t>פלוני נ' מדינת ישראל</w:t>
      </w:r>
      <w:r>
        <w:rPr>
          <w:rFonts w:ascii="David" w:eastAsia="David" w:hAnsi="David" w:cs="David"/>
          <w:sz w:val="24"/>
          <w:szCs w:val="24"/>
          <w:rtl/>
        </w:rPr>
        <w:t xml:space="preserve"> (פורסם בנבו, ניתן ביום 4.4.12)</w:t>
      </w:r>
      <w:r>
        <w:rPr>
          <w:rFonts w:ascii="David" w:eastAsia="David" w:hAnsi="David" w:cs="David"/>
          <w:b/>
          <w:bCs/>
          <w:sz w:val="24"/>
          <w:szCs w:val="24"/>
          <w:rtl/>
        </w:rPr>
        <w:t>: "נקודת האיזון בין שיקולי הגמול והרתעה, לבין שיקולי השיקום, בעבירות שבוצעו על ידי קטינים, שונה מנקודת האיזון בעבירות שבוצעו על ידי בגירים. הנחת המוצא היא כי כאשר בוצעה העבירה על ידי נאשם יינתן משקל מוגבר לאפשרות שיקומו ושילובו המחודש בחברה</w:t>
      </w:r>
      <w:r>
        <w:rPr>
          <w:rFonts w:ascii="David" w:eastAsia="David" w:hAnsi="David" w:cs="David"/>
          <w:sz w:val="24"/>
          <w:szCs w:val="24"/>
          <w:rtl/>
        </w:rPr>
        <w:t>".</w:t>
      </w:r>
    </w:p>
    <w:p w:rsidR="00FA4CA6" w:rsidRDefault="00FA4CA6" w:rsidP="00FA4CA6">
      <w:pPr>
        <w:spacing w:line="360" w:lineRule="auto"/>
        <w:jc w:val="both"/>
        <w:rPr>
          <w:rtl/>
        </w:rPr>
      </w:pPr>
    </w:p>
    <w:p w:rsidR="00FA4CA6" w:rsidRDefault="00FA4CA6" w:rsidP="00FA4CA6">
      <w:pPr>
        <w:pStyle w:val="ac"/>
        <w:spacing w:after="0" w:line="360" w:lineRule="auto"/>
        <w:ind w:left="0"/>
        <w:jc w:val="both"/>
        <w:rPr>
          <w:rFonts w:ascii="David" w:eastAsia="David" w:hAnsi="David" w:cs="David"/>
          <w:sz w:val="24"/>
          <w:szCs w:val="24"/>
          <w:rtl/>
        </w:rPr>
      </w:pPr>
      <w:r>
        <w:rPr>
          <w:rFonts w:ascii="David" w:eastAsia="David" w:hAnsi="David" w:cs="David"/>
          <w:sz w:val="24"/>
          <w:szCs w:val="24"/>
          <w:rtl/>
        </w:rPr>
        <w:t xml:space="preserve">השיקום, בעיקר בכל הנוגע לקטינים, הינו ערך עליון גם כאשר מדובר בעבירות מין חמורות יותר מהעבירות בתיק זה. </w:t>
      </w:r>
    </w:p>
    <w:p w:rsidR="00FA4CA6" w:rsidRDefault="00FA4CA6" w:rsidP="00FA4CA6">
      <w:pPr>
        <w:spacing w:line="360" w:lineRule="auto"/>
        <w:jc w:val="both"/>
        <w:rPr>
          <w:rtl/>
        </w:rPr>
      </w:pPr>
    </w:p>
    <w:p w:rsidR="00FA4CA6" w:rsidRDefault="00FA4CA6" w:rsidP="00FA4CA6">
      <w:pPr>
        <w:pStyle w:val="ac"/>
        <w:spacing w:after="0" w:line="360" w:lineRule="auto"/>
        <w:ind w:left="0"/>
        <w:jc w:val="both"/>
        <w:rPr>
          <w:rFonts w:ascii="David" w:eastAsia="David" w:hAnsi="David" w:cs="David"/>
          <w:sz w:val="24"/>
          <w:szCs w:val="24"/>
          <w:rtl/>
        </w:rPr>
      </w:pPr>
      <w:r>
        <w:rPr>
          <w:rFonts w:ascii="David" w:eastAsia="David" w:hAnsi="David" w:cs="David"/>
          <w:sz w:val="24"/>
          <w:szCs w:val="24"/>
          <w:rtl/>
        </w:rPr>
        <w:t xml:space="preserve">הפסיקה לאורך השנים התחשבה </w:t>
      </w:r>
      <w:proofErr w:type="spellStart"/>
      <w:r>
        <w:rPr>
          <w:rFonts w:ascii="David" w:eastAsia="David" w:hAnsi="David" w:cs="David"/>
          <w:sz w:val="24"/>
          <w:szCs w:val="24"/>
          <w:rtl/>
        </w:rPr>
        <w:t>בקטינותם</w:t>
      </w:r>
      <w:proofErr w:type="spellEnd"/>
      <w:r>
        <w:rPr>
          <w:rFonts w:ascii="David" w:eastAsia="David" w:hAnsi="David" w:cs="David"/>
          <w:sz w:val="24"/>
          <w:szCs w:val="24"/>
          <w:rtl/>
        </w:rPr>
        <w:t xml:space="preserve"> של נאשמים גם בעבירות חמורות ביותר, ובכלל זה עבירות מין. רף הענישה לקטינים הושפע בצורה מכרעת מגיל הנאשמים ומסיכויי שיקומם כנגזר מגילם, וזאת גם בעבירות מין ואלימות קשות ביותר (ע"פ 10564/02 </w:t>
      </w:r>
      <w:r>
        <w:rPr>
          <w:rFonts w:ascii="David" w:eastAsia="David" w:hAnsi="David" w:cs="David"/>
          <w:b/>
          <w:bCs/>
          <w:sz w:val="24"/>
          <w:szCs w:val="24"/>
          <w:rtl/>
        </w:rPr>
        <w:t>מדינת ישראל נ' פלוני</w:t>
      </w:r>
      <w:r>
        <w:rPr>
          <w:rFonts w:ascii="David" w:eastAsia="David" w:hAnsi="David" w:cs="David"/>
          <w:sz w:val="24"/>
          <w:szCs w:val="24"/>
          <w:rtl/>
        </w:rPr>
        <w:t xml:space="preserve">, תק-על 2005(2) 1900 (2005); ע"פ 1148/96 </w:t>
      </w:r>
      <w:r>
        <w:rPr>
          <w:rFonts w:ascii="David" w:eastAsia="David" w:hAnsi="David" w:cs="David"/>
          <w:b/>
          <w:bCs/>
          <w:sz w:val="24"/>
          <w:szCs w:val="24"/>
          <w:rtl/>
        </w:rPr>
        <w:t>פלוני נ' מדינת ישראל</w:t>
      </w:r>
      <w:r>
        <w:rPr>
          <w:rFonts w:ascii="David" w:eastAsia="David" w:hAnsi="David" w:cs="David"/>
          <w:sz w:val="24"/>
          <w:szCs w:val="24"/>
          <w:rtl/>
        </w:rPr>
        <w:t xml:space="preserve">, </w:t>
      </w:r>
      <w:proofErr w:type="spellStart"/>
      <w:r>
        <w:rPr>
          <w:rFonts w:ascii="David" w:eastAsia="David" w:hAnsi="David" w:cs="David"/>
          <w:sz w:val="24"/>
          <w:szCs w:val="24"/>
          <w:rtl/>
        </w:rPr>
        <w:t>פד"י</w:t>
      </w:r>
      <w:proofErr w:type="spellEnd"/>
      <w:r>
        <w:rPr>
          <w:rFonts w:ascii="David" w:eastAsia="David" w:hAnsi="David" w:cs="David"/>
          <w:sz w:val="24"/>
          <w:szCs w:val="24"/>
          <w:rtl/>
        </w:rPr>
        <w:t xml:space="preserve"> נ(2) 837 (1996); ע"פ 3314/04 </w:t>
      </w:r>
      <w:r>
        <w:rPr>
          <w:rFonts w:ascii="David" w:eastAsia="David" w:hAnsi="David" w:cs="David"/>
          <w:b/>
          <w:bCs/>
          <w:sz w:val="24"/>
          <w:szCs w:val="24"/>
          <w:rtl/>
        </w:rPr>
        <w:t>פלוני נ' מדינת ישראל,</w:t>
      </w:r>
      <w:r>
        <w:rPr>
          <w:rFonts w:ascii="David" w:eastAsia="David" w:hAnsi="David" w:cs="David"/>
          <w:sz w:val="24"/>
          <w:szCs w:val="24"/>
          <w:rtl/>
        </w:rPr>
        <w:t xml:space="preserve"> תק-על 2005(2) 4216 (2005); ע"פ 117/00 </w:t>
      </w:r>
      <w:r>
        <w:rPr>
          <w:rFonts w:ascii="David" w:eastAsia="David" w:hAnsi="David" w:cs="David"/>
          <w:b/>
          <w:bCs/>
          <w:sz w:val="24"/>
          <w:szCs w:val="24"/>
          <w:rtl/>
        </w:rPr>
        <w:t>מדינת ישראל נ' פלוני</w:t>
      </w:r>
      <w:r>
        <w:rPr>
          <w:rFonts w:ascii="David" w:eastAsia="David" w:hAnsi="David" w:cs="David"/>
          <w:sz w:val="24"/>
          <w:szCs w:val="24"/>
          <w:rtl/>
        </w:rPr>
        <w:t xml:space="preserve">, </w:t>
      </w:r>
      <w:proofErr w:type="spellStart"/>
      <w:r>
        <w:rPr>
          <w:rFonts w:ascii="David" w:eastAsia="David" w:hAnsi="David" w:cs="David"/>
          <w:sz w:val="24"/>
          <w:szCs w:val="24"/>
          <w:rtl/>
        </w:rPr>
        <w:t>פד"י</w:t>
      </w:r>
      <w:proofErr w:type="spellEnd"/>
      <w:r>
        <w:rPr>
          <w:rFonts w:ascii="David" w:eastAsia="David" w:hAnsi="David" w:cs="David"/>
          <w:sz w:val="24"/>
          <w:szCs w:val="24"/>
          <w:rtl/>
        </w:rPr>
        <w:t xml:space="preserve"> נד(2) 408 (2000); ע"פ 5703/03 </w:t>
      </w:r>
      <w:r>
        <w:rPr>
          <w:rFonts w:ascii="David" w:eastAsia="David" w:hAnsi="David" w:cs="David"/>
          <w:b/>
          <w:bCs/>
          <w:sz w:val="24"/>
          <w:szCs w:val="24"/>
          <w:rtl/>
        </w:rPr>
        <w:t>פלונים נ' מדינת ישראל</w:t>
      </w:r>
      <w:r>
        <w:rPr>
          <w:rFonts w:ascii="David" w:eastAsia="David" w:hAnsi="David" w:cs="David"/>
          <w:sz w:val="24"/>
          <w:szCs w:val="24"/>
          <w:rtl/>
        </w:rPr>
        <w:t xml:space="preserve">, </w:t>
      </w:r>
      <w:proofErr w:type="spellStart"/>
      <w:r>
        <w:rPr>
          <w:rFonts w:ascii="David" w:eastAsia="David" w:hAnsi="David" w:cs="David"/>
          <w:sz w:val="24"/>
          <w:szCs w:val="24"/>
          <w:rtl/>
        </w:rPr>
        <w:t>פד"י</w:t>
      </w:r>
      <w:proofErr w:type="spellEnd"/>
      <w:r>
        <w:rPr>
          <w:rFonts w:ascii="David" w:eastAsia="David" w:hAnsi="David" w:cs="David"/>
          <w:sz w:val="24"/>
          <w:szCs w:val="24"/>
          <w:rtl/>
        </w:rPr>
        <w:t xml:space="preserve"> </w:t>
      </w:r>
      <w:proofErr w:type="spellStart"/>
      <w:r>
        <w:rPr>
          <w:rFonts w:ascii="David" w:eastAsia="David" w:hAnsi="David" w:cs="David"/>
          <w:sz w:val="24"/>
          <w:szCs w:val="24"/>
          <w:rtl/>
        </w:rPr>
        <w:t>נז</w:t>
      </w:r>
      <w:proofErr w:type="spellEnd"/>
      <w:r>
        <w:rPr>
          <w:rFonts w:ascii="David" w:eastAsia="David" w:hAnsi="David" w:cs="David"/>
          <w:sz w:val="24"/>
          <w:szCs w:val="24"/>
          <w:rtl/>
        </w:rPr>
        <w:t xml:space="preserve">(6) 175 (2003); ע"פ 11178/04 </w:t>
      </w:r>
      <w:r>
        <w:rPr>
          <w:rFonts w:ascii="David" w:eastAsia="David" w:hAnsi="David" w:cs="David"/>
          <w:b/>
          <w:bCs/>
          <w:sz w:val="24"/>
          <w:szCs w:val="24"/>
          <w:rtl/>
        </w:rPr>
        <w:t xml:space="preserve">פלוני נ' מדינת ישראל </w:t>
      </w:r>
      <w:r>
        <w:rPr>
          <w:rFonts w:ascii="David" w:eastAsia="David" w:hAnsi="David" w:cs="David"/>
          <w:sz w:val="24"/>
          <w:szCs w:val="24"/>
          <w:rtl/>
        </w:rPr>
        <w:t xml:space="preserve">תק-על 2005(3) 2798 (2005); ע"פ 9040/06 </w:t>
      </w:r>
      <w:r>
        <w:rPr>
          <w:rFonts w:ascii="David" w:eastAsia="David" w:hAnsi="David" w:cs="David"/>
          <w:b/>
          <w:bCs/>
          <w:sz w:val="24"/>
          <w:szCs w:val="24"/>
          <w:rtl/>
        </w:rPr>
        <w:t>פלונים נ' מדינת ישראל</w:t>
      </w:r>
      <w:r>
        <w:rPr>
          <w:rFonts w:ascii="David" w:eastAsia="David" w:hAnsi="David" w:cs="David"/>
          <w:sz w:val="24"/>
          <w:szCs w:val="24"/>
          <w:rtl/>
        </w:rPr>
        <w:t xml:space="preserve">, תק-על 2007(1) 2601 (2007); ע"פ 1004/00 </w:t>
      </w:r>
      <w:r>
        <w:rPr>
          <w:rFonts w:ascii="David" w:eastAsia="David" w:hAnsi="David" w:cs="David"/>
          <w:b/>
          <w:bCs/>
          <w:sz w:val="24"/>
          <w:szCs w:val="24"/>
          <w:rtl/>
        </w:rPr>
        <w:t>פלוני נ' מדינת ישראל</w:t>
      </w:r>
      <w:r>
        <w:rPr>
          <w:rFonts w:ascii="David" w:eastAsia="David" w:hAnsi="David" w:cs="David"/>
          <w:sz w:val="24"/>
          <w:szCs w:val="24"/>
          <w:rtl/>
        </w:rPr>
        <w:t xml:space="preserve">, תק-על 2006(3) 2181 (2006). ע"פ 4920/01 </w:t>
      </w:r>
      <w:r>
        <w:rPr>
          <w:rFonts w:ascii="David" w:eastAsia="David" w:hAnsi="David" w:cs="David"/>
          <w:b/>
          <w:bCs/>
          <w:sz w:val="24"/>
          <w:szCs w:val="24"/>
          <w:rtl/>
        </w:rPr>
        <w:t>מדינת ישראל נ' פלוני</w:t>
      </w:r>
      <w:r>
        <w:rPr>
          <w:rFonts w:ascii="David" w:eastAsia="David" w:hAnsi="David" w:cs="David"/>
          <w:sz w:val="24"/>
          <w:szCs w:val="24"/>
          <w:rtl/>
        </w:rPr>
        <w:t xml:space="preserve">, תק-על 2001(4) 1000 (2001); ע"פ 4272/04 </w:t>
      </w:r>
      <w:r>
        <w:rPr>
          <w:rFonts w:ascii="David" w:eastAsia="David" w:hAnsi="David" w:cs="David"/>
          <w:b/>
          <w:bCs/>
          <w:sz w:val="24"/>
          <w:szCs w:val="24"/>
          <w:rtl/>
        </w:rPr>
        <w:t>פלוני נ' מדינת ישראל</w:t>
      </w:r>
      <w:r>
        <w:rPr>
          <w:rFonts w:ascii="David" w:eastAsia="David" w:hAnsi="David" w:cs="David"/>
          <w:sz w:val="24"/>
          <w:szCs w:val="24"/>
          <w:rtl/>
        </w:rPr>
        <w:t xml:space="preserve">, </w:t>
      </w:r>
      <w:proofErr w:type="spellStart"/>
      <w:r>
        <w:rPr>
          <w:rFonts w:ascii="David" w:eastAsia="David" w:hAnsi="David" w:cs="David"/>
          <w:sz w:val="24"/>
          <w:szCs w:val="24"/>
          <w:rtl/>
        </w:rPr>
        <w:t>פד"י</w:t>
      </w:r>
      <w:proofErr w:type="spellEnd"/>
      <w:r>
        <w:rPr>
          <w:rFonts w:ascii="David" w:eastAsia="David" w:hAnsi="David" w:cs="David"/>
          <w:sz w:val="24"/>
          <w:szCs w:val="24"/>
          <w:rtl/>
        </w:rPr>
        <w:t xml:space="preserve"> נט(6) 175 (2005); ע"פ 3314/04 </w:t>
      </w:r>
      <w:r>
        <w:rPr>
          <w:rFonts w:ascii="David" w:eastAsia="David" w:hAnsi="David" w:cs="David"/>
          <w:b/>
          <w:bCs/>
          <w:sz w:val="24"/>
          <w:szCs w:val="24"/>
          <w:rtl/>
        </w:rPr>
        <w:t>פלוני נ' מדינת ישראל</w:t>
      </w:r>
      <w:r>
        <w:rPr>
          <w:rFonts w:ascii="David" w:eastAsia="David" w:hAnsi="David" w:cs="David"/>
          <w:sz w:val="24"/>
          <w:szCs w:val="24"/>
          <w:rtl/>
        </w:rPr>
        <w:t xml:space="preserve">, תק-על 2006(1) 2725 (2006); ע"פ 9737/06 </w:t>
      </w:r>
      <w:r>
        <w:rPr>
          <w:rFonts w:ascii="David" w:eastAsia="David" w:hAnsi="David" w:cs="David"/>
          <w:b/>
          <w:bCs/>
          <w:sz w:val="24"/>
          <w:szCs w:val="24"/>
          <w:rtl/>
        </w:rPr>
        <w:t>פלוני נ' מדינת ישראל</w:t>
      </w:r>
      <w:r>
        <w:rPr>
          <w:rFonts w:ascii="David" w:eastAsia="David" w:hAnsi="David" w:cs="David"/>
          <w:sz w:val="24"/>
          <w:szCs w:val="24"/>
          <w:rtl/>
        </w:rPr>
        <w:t>, תק-על 2007(2) 1801 (2007).</w:t>
      </w:r>
    </w:p>
    <w:p w:rsidR="00FA4CA6" w:rsidRDefault="00FA4CA6" w:rsidP="00FA4CA6">
      <w:pPr>
        <w:spacing w:line="360" w:lineRule="auto"/>
        <w:jc w:val="both"/>
        <w:rPr>
          <w:rtl/>
        </w:rPr>
      </w:pPr>
    </w:p>
    <w:p w:rsidR="00FA4CA6" w:rsidRDefault="00FA4CA6" w:rsidP="00FA4CA6">
      <w:pPr>
        <w:pStyle w:val="ac"/>
        <w:spacing w:after="0" w:line="360" w:lineRule="auto"/>
        <w:ind w:left="0"/>
        <w:jc w:val="both"/>
        <w:rPr>
          <w:rFonts w:ascii="David" w:eastAsia="David" w:hAnsi="David" w:cs="David"/>
          <w:sz w:val="24"/>
          <w:szCs w:val="24"/>
          <w:rtl/>
        </w:rPr>
      </w:pPr>
      <w:r>
        <w:rPr>
          <w:rFonts w:ascii="David" w:eastAsia="David" w:hAnsi="David" w:cs="David"/>
          <w:sz w:val="24"/>
          <w:szCs w:val="24"/>
          <w:rtl/>
        </w:rPr>
        <w:lastRenderedPageBreak/>
        <w:t>כאמור המקרים המתוארים בפסקי דין אלו חמורים מן המעשים עליהם נותן הנאשם שבפני את הדין.</w:t>
      </w:r>
    </w:p>
    <w:p w:rsidR="00FA4CA6" w:rsidRDefault="00FA4CA6" w:rsidP="00FA4CA6">
      <w:pPr>
        <w:spacing w:line="360" w:lineRule="auto"/>
        <w:jc w:val="both"/>
        <w:rPr>
          <w:rtl/>
        </w:rPr>
      </w:pPr>
    </w:p>
    <w:p w:rsidR="00FA4CA6" w:rsidRDefault="00FA4CA6" w:rsidP="00FA4CA6">
      <w:pPr>
        <w:pStyle w:val="ac"/>
        <w:spacing w:after="0" w:line="360" w:lineRule="auto"/>
        <w:ind w:left="0"/>
        <w:jc w:val="both"/>
        <w:rPr>
          <w:rFonts w:ascii="David" w:eastAsia="David" w:hAnsi="David" w:cs="David"/>
          <w:sz w:val="24"/>
          <w:szCs w:val="24"/>
          <w:rtl/>
        </w:rPr>
      </w:pPr>
      <w:r>
        <w:rPr>
          <w:rFonts w:ascii="David" w:eastAsia="David" w:hAnsi="David" w:cs="David"/>
          <w:b/>
          <w:bCs/>
          <w:sz w:val="24"/>
          <w:szCs w:val="24"/>
          <w:rtl/>
        </w:rPr>
        <w:t>למעשה חומרת המעשים נובעת כמובן מגיל הקורבנות בעיקר באישום השני - אל למאן דהוא לטעות כי בשל ההתמקדות בניתוח מצבו של הנאשם ובשל העובדה כי בבית משפט לנוער עסקינן, נגרע חלקן של המתלוננות. אמנם אין בפני תסקיר קורבן או תצהיר, אך עוגמת הנפש (לכל הפחות) והפגיעה שחוו תלווה אותן שנים ארוכות</w:t>
      </w:r>
      <w:r>
        <w:rPr>
          <w:rFonts w:ascii="David" w:eastAsia="David" w:hAnsi="David" w:cs="David"/>
          <w:sz w:val="24"/>
          <w:szCs w:val="24"/>
          <w:rtl/>
        </w:rPr>
        <w:t xml:space="preserve">. </w:t>
      </w:r>
    </w:p>
    <w:p w:rsidR="00FA4CA6" w:rsidRDefault="00FA4CA6" w:rsidP="00FA4CA6">
      <w:pPr>
        <w:spacing w:line="360" w:lineRule="auto"/>
        <w:jc w:val="both"/>
        <w:rPr>
          <w:rtl/>
        </w:rPr>
      </w:pPr>
    </w:p>
    <w:p w:rsidR="00FA4CA6" w:rsidRDefault="00FA4CA6" w:rsidP="00FA4CA6">
      <w:pPr>
        <w:pStyle w:val="ac"/>
        <w:spacing w:after="0" w:line="360" w:lineRule="auto"/>
        <w:ind w:left="0"/>
        <w:jc w:val="both"/>
        <w:rPr>
          <w:rFonts w:ascii="David" w:eastAsia="David" w:hAnsi="David" w:cs="David"/>
          <w:sz w:val="24"/>
          <w:szCs w:val="24"/>
          <w:rtl/>
        </w:rPr>
      </w:pPr>
      <w:r>
        <w:rPr>
          <w:rFonts w:ascii="David" w:eastAsia="David" w:hAnsi="David" w:cs="David"/>
          <w:sz w:val="24"/>
          <w:szCs w:val="24"/>
          <w:rtl/>
        </w:rPr>
        <w:t xml:space="preserve">הנאשם נטל אחריות למעשיו, הבין את חומרתם ולקח חלק בהליך טיפולי ארוך אשר כלל </w:t>
      </w:r>
      <w:r>
        <w:rPr>
          <w:rFonts w:ascii="David" w:eastAsia="David" w:hAnsi="David" w:cs="David"/>
          <w:b/>
          <w:bCs/>
          <w:sz w:val="24"/>
          <w:szCs w:val="24"/>
          <w:u w:val="single"/>
          <w:rtl/>
        </w:rPr>
        <w:t>עשרות מפגשים</w:t>
      </w:r>
      <w:r>
        <w:rPr>
          <w:rFonts w:ascii="David" w:eastAsia="David" w:hAnsi="David" w:cs="David"/>
          <w:sz w:val="24"/>
          <w:szCs w:val="24"/>
          <w:rtl/>
        </w:rPr>
        <w:t xml:space="preserve">, בהם שיתף פעולה - ניסיונות לשלבו גם בטיפול קבוצתי כשלו. </w:t>
      </w:r>
    </w:p>
    <w:p w:rsidR="00FA4CA6" w:rsidRDefault="00FA4CA6" w:rsidP="00FA4CA6">
      <w:pPr>
        <w:spacing w:line="360" w:lineRule="auto"/>
        <w:jc w:val="both"/>
        <w:rPr>
          <w:rtl/>
        </w:rPr>
      </w:pPr>
    </w:p>
    <w:p w:rsidR="00FA4CA6" w:rsidRDefault="00FA4CA6" w:rsidP="00FA4CA6">
      <w:pPr>
        <w:pStyle w:val="ac"/>
        <w:spacing w:after="0" w:line="360" w:lineRule="auto"/>
        <w:ind w:left="0"/>
        <w:jc w:val="both"/>
        <w:rPr>
          <w:rFonts w:ascii="David" w:eastAsia="David" w:hAnsi="David" w:cs="David"/>
          <w:sz w:val="24"/>
          <w:szCs w:val="24"/>
          <w:rtl/>
        </w:rPr>
      </w:pPr>
      <w:r>
        <w:rPr>
          <w:rFonts w:ascii="David" w:eastAsia="David" w:hAnsi="David" w:cs="David"/>
          <w:sz w:val="24"/>
          <w:szCs w:val="24"/>
          <w:rtl/>
        </w:rPr>
        <w:t xml:space="preserve">הודיה בעבירת מין פירושה, מעבר לחיסכון בזמן שיפוטי או להודיה בסוג אחר של עבירות מחוק העונשין ובכלל, </w:t>
      </w:r>
      <w:r>
        <w:rPr>
          <w:rFonts w:ascii="David" w:eastAsia="David" w:hAnsi="David" w:cs="David"/>
          <w:b/>
          <w:bCs/>
          <w:sz w:val="24"/>
          <w:szCs w:val="24"/>
          <w:rtl/>
        </w:rPr>
        <w:t>נשיאה בעול כבד</w:t>
      </w:r>
      <w:r>
        <w:rPr>
          <w:rFonts w:ascii="David" w:eastAsia="David" w:hAnsi="David" w:cs="David"/>
          <w:sz w:val="24"/>
          <w:szCs w:val="24"/>
          <w:rtl/>
        </w:rPr>
        <w:t xml:space="preserve"> - בושה, כלימה וידיעה כי מדובר בהליך טיפולי שיש לעבור. מדובר באות קלון בין עם הרשעה בין בלעדיה. אין ספק, כי הצעד הראשון והמשמעותי הוא הודיית נאשם בתיק מסוג זה ונטילת אחריות לא רק על העובדות (כמו כאן) אלא גם על סעיפי החיקוק. מדובר בהליך של מירוק חטאים המחל כבר בהודיה ולא לחינם שנו חכמינו "מודה ועוזב ירוחם", ללמדנו מרכזיותה של הודאה.</w:t>
      </w:r>
    </w:p>
    <w:p w:rsidR="00FA4CA6" w:rsidRDefault="00FA4CA6" w:rsidP="00FA4CA6">
      <w:pPr>
        <w:spacing w:line="360" w:lineRule="auto"/>
        <w:jc w:val="both"/>
        <w:rPr>
          <w:rtl/>
        </w:rPr>
      </w:pPr>
    </w:p>
    <w:p w:rsidR="00FA4CA6" w:rsidRDefault="00FA4CA6" w:rsidP="00FA4CA6">
      <w:pPr>
        <w:pStyle w:val="ac"/>
        <w:spacing w:line="360" w:lineRule="auto"/>
        <w:ind w:left="0"/>
        <w:jc w:val="both"/>
        <w:rPr>
          <w:rFonts w:ascii="David" w:hAnsi="David" w:cs="David"/>
          <w:sz w:val="24"/>
          <w:szCs w:val="24"/>
        </w:rPr>
      </w:pPr>
      <w:r>
        <w:rPr>
          <w:rFonts w:ascii="David" w:hAnsi="David" w:cs="David"/>
          <w:sz w:val="24"/>
          <w:szCs w:val="24"/>
          <w:rtl/>
        </w:rPr>
        <w:t>שירות המבחן המליץ על אי-הרשעה ונקיטה בדרכי טיפול לאחר שעמד בקשר ארוך טווח עם הנאשם ודיווח, עקב בצד אגודל, לאורך כל הדרך על התקדמותו לצד קשייו.</w:t>
      </w:r>
    </w:p>
    <w:p w:rsidR="00FA4CA6" w:rsidRDefault="00FA4CA6" w:rsidP="00FA4CA6">
      <w:pPr>
        <w:pStyle w:val="ac"/>
        <w:rPr>
          <w:rFonts w:ascii="David" w:hAnsi="David" w:cs="David"/>
          <w:sz w:val="24"/>
          <w:szCs w:val="24"/>
          <w:rtl/>
        </w:rPr>
      </w:pPr>
    </w:p>
    <w:p w:rsidR="00FA4CA6" w:rsidRDefault="00FA4CA6" w:rsidP="00FA4CA6">
      <w:pPr>
        <w:pStyle w:val="ac"/>
        <w:spacing w:line="360" w:lineRule="auto"/>
        <w:ind w:left="0"/>
        <w:jc w:val="both"/>
        <w:rPr>
          <w:rFonts w:ascii="David" w:hAnsi="David" w:cs="David"/>
          <w:sz w:val="24"/>
          <w:szCs w:val="24"/>
        </w:rPr>
      </w:pPr>
      <w:r>
        <w:rPr>
          <w:rFonts w:ascii="David" w:hAnsi="David" w:cs="David"/>
          <w:sz w:val="24"/>
          <w:szCs w:val="24"/>
          <w:rtl/>
        </w:rPr>
        <w:t>לעמדתו של שירות המבחן משקל רב במסגרת שיקוליו של בית המשפט והיכן שברורים האדנים עליהם מונחים מסקנות התסקיר – הרי שיש לאמצו. הכלל הוא כי בית משפט יחרוג מהמלצות תסקיר היכן שיש נימוקים כבדי משקל לכך.</w:t>
      </w:r>
    </w:p>
    <w:p w:rsidR="00FA4CA6" w:rsidRDefault="00FA4CA6" w:rsidP="00FA4CA6">
      <w:pPr>
        <w:pStyle w:val="ac"/>
        <w:spacing w:line="360" w:lineRule="auto"/>
        <w:jc w:val="both"/>
        <w:rPr>
          <w:rFonts w:ascii="David" w:hAnsi="David" w:cs="David"/>
          <w:sz w:val="24"/>
          <w:szCs w:val="24"/>
          <w:rtl/>
        </w:rPr>
      </w:pPr>
    </w:p>
    <w:p w:rsidR="00FA4CA6" w:rsidRDefault="00FA4CA6" w:rsidP="00FA4CA6">
      <w:pPr>
        <w:pStyle w:val="ac"/>
        <w:spacing w:line="360" w:lineRule="auto"/>
        <w:ind w:left="0"/>
        <w:jc w:val="both"/>
        <w:rPr>
          <w:rFonts w:cs="David"/>
          <w:sz w:val="24"/>
          <w:szCs w:val="24"/>
        </w:rPr>
      </w:pPr>
      <w:r>
        <w:rPr>
          <w:rFonts w:cs="David"/>
          <w:sz w:val="24"/>
          <w:szCs w:val="24"/>
          <w:rtl/>
        </w:rPr>
        <w:t xml:space="preserve">נתתי דעתי לכך, כי מאז ביצוע העבירה </w:t>
      </w:r>
      <w:r>
        <w:rPr>
          <w:rFonts w:cs="David"/>
          <w:b/>
          <w:bCs/>
          <w:sz w:val="24"/>
          <w:szCs w:val="24"/>
          <w:rtl/>
        </w:rPr>
        <w:t>חלף פרק זמן משמעותי ביותר</w:t>
      </w:r>
      <w:r>
        <w:rPr>
          <w:rFonts w:cs="David"/>
          <w:sz w:val="24"/>
          <w:szCs w:val="24"/>
          <w:rtl/>
        </w:rPr>
        <w:t xml:space="preserve"> (</w:t>
      </w:r>
      <w:r>
        <w:rPr>
          <w:rFonts w:cs="David"/>
          <w:b/>
          <w:bCs/>
          <w:sz w:val="24"/>
          <w:szCs w:val="24"/>
          <w:rtl/>
        </w:rPr>
        <w:t>כשלוש וחצי שנים</w:t>
      </w:r>
      <w:r>
        <w:rPr>
          <w:rFonts w:cs="David"/>
          <w:sz w:val="24"/>
          <w:szCs w:val="24"/>
          <w:rtl/>
        </w:rPr>
        <w:t>), לא נפתחו תיקים חדשים ולא הוגשו כתבי אישום נוספים. כאמור מדובר בעבירה נגישה וקלה לביצוע ועצם העובדה כי תקופה כה ארוכה חלפה מבלי שחזר הנאשם לסורו מעידה כי אכן הפנים לקחיו (לא נעלמה מעיני העובדה כי הוגש כתב אישום נוסף לצד כתב אישום זה בעבירות מסוג אחר).</w:t>
      </w:r>
    </w:p>
    <w:p w:rsidR="00FA4CA6" w:rsidRDefault="00FA4CA6" w:rsidP="00FA4CA6">
      <w:pPr>
        <w:pStyle w:val="ac"/>
        <w:rPr>
          <w:rFonts w:cs="David"/>
          <w:sz w:val="24"/>
          <w:szCs w:val="24"/>
          <w:rtl/>
        </w:rPr>
      </w:pPr>
    </w:p>
    <w:p w:rsidR="00FA4CA6" w:rsidRDefault="00FA4CA6" w:rsidP="00FA4CA6">
      <w:pPr>
        <w:pStyle w:val="ac"/>
        <w:spacing w:line="360" w:lineRule="auto"/>
        <w:ind w:left="0"/>
        <w:jc w:val="both"/>
        <w:rPr>
          <w:rFonts w:cs="David"/>
          <w:sz w:val="24"/>
          <w:szCs w:val="24"/>
        </w:rPr>
      </w:pPr>
      <w:r>
        <w:rPr>
          <w:rFonts w:ascii="David" w:eastAsia="David" w:hAnsi="David" w:cs="David"/>
          <w:b/>
          <w:bCs/>
          <w:sz w:val="24"/>
          <w:szCs w:val="24"/>
          <w:rtl/>
        </w:rPr>
        <w:t xml:space="preserve">אינני סבור, כי יש מקום </w:t>
      </w:r>
      <w:proofErr w:type="spellStart"/>
      <w:r>
        <w:rPr>
          <w:rFonts w:ascii="David" w:eastAsia="David" w:hAnsi="David" w:cs="David"/>
          <w:b/>
          <w:bCs/>
          <w:sz w:val="24"/>
          <w:szCs w:val="24"/>
          <w:rtl/>
        </w:rPr>
        <w:t>ליתן</w:t>
      </w:r>
      <w:proofErr w:type="spellEnd"/>
      <w:r>
        <w:rPr>
          <w:rFonts w:ascii="David" w:eastAsia="David" w:hAnsi="David" w:cs="David"/>
          <w:b/>
          <w:bCs/>
          <w:sz w:val="24"/>
          <w:szCs w:val="24"/>
          <w:rtl/>
        </w:rPr>
        <w:t xml:space="preserve"> לנאשם לפתוח חייו הבוגרים כשבאמתחתו הרשעה בעבירה מין</w:t>
      </w:r>
      <w:r>
        <w:rPr>
          <w:rFonts w:ascii="David" w:eastAsia="David" w:hAnsi="David" w:cs="David"/>
          <w:sz w:val="24"/>
          <w:szCs w:val="24"/>
          <w:rtl/>
        </w:rPr>
        <w:t xml:space="preserve"> (אפנה בעניין זה לפסק דינה של כב' השופטת אימבר </w:t>
      </w:r>
      <w:proofErr w:type="spellStart"/>
      <w:r>
        <w:rPr>
          <w:rFonts w:ascii="David" w:eastAsia="David" w:hAnsi="David" w:cs="David"/>
          <w:sz w:val="24"/>
          <w:szCs w:val="24"/>
          <w:rtl/>
        </w:rPr>
        <w:t>בת"פ</w:t>
      </w:r>
      <w:proofErr w:type="spellEnd"/>
      <w:r>
        <w:rPr>
          <w:rFonts w:ascii="David" w:eastAsia="David" w:hAnsi="David" w:cs="David"/>
          <w:sz w:val="24"/>
          <w:szCs w:val="24"/>
          <w:rtl/>
        </w:rPr>
        <w:t xml:space="preserve"> 30393-04-12, גם שם לא הייתה מונחת המלצה של </w:t>
      </w:r>
      <w:proofErr w:type="spellStart"/>
      <w:r>
        <w:rPr>
          <w:rFonts w:ascii="David" w:eastAsia="David" w:hAnsi="David" w:cs="David"/>
          <w:sz w:val="24"/>
          <w:szCs w:val="24"/>
          <w:rtl/>
        </w:rPr>
        <w:t>שמ"ל</w:t>
      </w:r>
      <w:proofErr w:type="spellEnd"/>
      <w:r>
        <w:rPr>
          <w:rFonts w:ascii="David" w:eastAsia="David" w:hAnsi="David" w:cs="David"/>
          <w:sz w:val="24"/>
          <w:szCs w:val="24"/>
          <w:rtl/>
        </w:rPr>
        <w:t xml:space="preserve"> לסיום בדרכי טיפול ואף תסקיר קשה מזה המונח כאן), שם נאמר כי ניתן להוקיע מעשים גם על דרך של שיקום.</w:t>
      </w:r>
    </w:p>
    <w:p w:rsidR="00FA4CA6" w:rsidRDefault="00FA4CA6" w:rsidP="00FA4CA6">
      <w:pPr>
        <w:pStyle w:val="ac"/>
        <w:rPr>
          <w:rFonts w:cs="David"/>
          <w:sz w:val="24"/>
          <w:szCs w:val="24"/>
          <w:rtl/>
        </w:rPr>
      </w:pPr>
    </w:p>
    <w:p w:rsidR="00FA4CA6" w:rsidRDefault="00FA4CA6" w:rsidP="00FA4CA6">
      <w:pPr>
        <w:pStyle w:val="ac"/>
        <w:spacing w:line="360" w:lineRule="auto"/>
        <w:ind w:left="0"/>
        <w:jc w:val="both"/>
        <w:rPr>
          <w:rFonts w:cs="David"/>
          <w:sz w:val="24"/>
          <w:szCs w:val="24"/>
        </w:rPr>
      </w:pPr>
      <w:r>
        <w:rPr>
          <w:rFonts w:cs="David"/>
          <w:sz w:val="24"/>
          <w:szCs w:val="24"/>
          <w:rtl/>
        </w:rPr>
        <w:lastRenderedPageBreak/>
        <w:t>עמדת המאשימה, כי עצם העובדה שמדובר בעבירת מין מחייבת הרשעה, אינה מקובלת עלי (וכמפורט גם לא על בית המשפט העליון). כשם שיש להעביר מסר של עידוד וחיזוק מתלוננות יש להעביר מסר של עידוד שיקום וטיפול לעבריינים.</w:t>
      </w:r>
    </w:p>
    <w:p w:rsidR="00FA4CA6" w:rsidRDefault="00FA4CA6" w:rsidP="00FA4CA6">
      <w:pPr>
        <w:pStyle w:val="ac"/>
        <w:rPr>
          <w:rFonts w:cs="David"/>
          <w:sz w:val="24"/>
          <w:szCs w:val="24"/>
          <w:rtl/>
        </w:rPr>
      </w:pPr>
    </w:p>
    <w:p w:rsidR="00FA4CA6" w:rsidRDefault="00FA4CA6" w:rsidP="00FA4CA6">
      <w:pPr>
        <w:pStyle w:val="ac"/>
        <w:spacing w:line="360" w:lineRule="auto"/>
        <w:ind w:left="0"/>
        <w:jc w:val="both"/>
        <w:rPr>
          <w:rFonts w:cs="David"/>
          <w:sz w:val="24"/>
          <w:szCs w:val="24"/>
        </w:rPr>
      </w:pPr>
      <w:r>
        <w:rPr>
          <w:rFonts w:cs="David"/>
          <w:sz w:val="24"/>
          <w:szCs w:val="24"/>
          <w:rtl/>
        </w:rPr>
        <w:t>לעניין שיקומו של קטין, הרי שמדובר בערך עליון ואפנה בעניין זה לציטוט מתוך ע"פ 821/16 פלוני נ' מדינת ישראל [פורסם בנבו]: "</w:t>
      </w:r>
      <w:r>
        <w:rPr>
          <w:rFonts w:cs="David"/>
          <w:b/>
          <w:bCs/>
          <w:sz w:val="24"/>
          <w:szCs w:val="24"/>
          <w:rtl/>
        </w:rPr>
        <w:t xml:space="preserve">הימנעות מהרשעה היא אפוא אותה "תעודה" שמעניקה החברה לבניהו ובנותיה התועים שחזרו אל דרך הישר המבטאת את "כרטיס הכניסה" שניתן להם לשם חזרה אל החברה ללא "אות קין" ותוך מתן הזדמנות </w:t>
      </w:r>
      <w:proofErr w:type="spellStart"/>
      <w:r>
        <w:rPr>
          <w:rFonts w:cs="David"/>
          <w:b/>
          <w:bCs/>
          <w:sz w:val="24"/>
          <w:szCs w:val="24"/>
          <w:rtl/>
        </w:rPr>
        <w:t>אמיתית</w:t>
      </w:r>
      <w:proofErr w:type="spellEnd"/>
      <w:r>
        <w:rPr>
          <w:rFonts w:cs="David"/>
          <w:b/>
          <w:bCs/>
          <w:sz w:val="24"/>
          <w:szCs w:val="24"/>
          <w:rtl/>
        </w:rPr>
        <w:t xml:space="preserve"> ושווה להתחיל חיים חדשים טובים ומועילים לחברה</w:t>
      </w:r>
      <w:r>
        <w:rPr>
          <w:rFonts w:cs="David"/>
          <w:sz w:val="24"/>
          <w:szCs w:val="24"/>
          <w:rtl/>
        </w:rPr>
        <w:t>".</w:t>
      </w:r>
    </w:p>
    <w:p w:rsidR="00FA4CA6" w:rsidRDefault="00FA4CA6" w:rsidP="00FA4CA6">
      <w:pPr>
        <w:pStyle w:val="ac"/>
        <w:rPr>
          <w:rFonts w:cs="David"/>
          <w:sz w:val="24"/>
          <w:szCs w:val="24"/>
          <w:rtl/>
        </w:rPr>
      </w:pPr>
    </w:p>
    <w:p w:rsidR="00FA4CA6" w:rsidRDefault="00FA4CA6" w:rsidP="00FA4CA6">
      <w:pPr>
        <w:pStyle w:val="ac"/>
        <w:spacing w:line="360" w:lineRule="auto"/>
        <w:ind w:left="0"/>
        <w:jc w:val="both"/>
        <w:rPr>
          <w:rFonts w:cs="David"/>
          <w:sz w:val="24"/>
          <w:szCs w:val="24"/>
        </w:rPr>
      </w:pPr>
      <w:r>
        <w:rPr>
          <w:rFonts w:cs="David"/>
          <w:sz w:val="24"/>
          <w:szCs w:val="24"/>
          <w:rtl/>
        </w:rPr>
        <w:t xml:space="preserve">לעניין הנאשם שבפני, הרי שיתכן כי – באם נדמה הליך השיקום </w:t>
      </w:r>
      <w:proofErr w:type="spellStart"/>
      <w:r>
        <w:rPr>
          <w:rFonts w:cs="David"/>
          <w:sz w:val="24"/>
          <w:szCs w:val="24"/>
          <w:rtl/>
        </w:rPr>
        <w:t>למירוץ</w:t>
      </w:r>
      <w:proofErr w:type="spellEnd"/>
      <w:r>
        <w:rPr>
          <w:rFonts w:cs="David"/>
          <w:sz w:val="24"/>
          <w:szCs w:val="24"/>
          <w:rtl/>
        </w:rPr>
        <w:t xml:space="preserve"> שתחילתו באדני ההודיה ולקיחת האחריות בכתב האישום (או אף טרם לכך) ואחריתו חציית קו הסיום בהמלצות </w:t>
      </w:r>
      <w:proofErr w:type="spellStart"/>
      <w:r>
        <w:rPr>
          <w:rFonts w:cs="David"/>
          <w:sz w:val="24"/>
          <w:szCs w:val="24"/>
          <w:rtl/>
        </w:rPr>
        <w:t>שמ"ל</w:t>
      </w:r>
      <w:proofErr w:type="spellEnd"/>
      <w:r>
        <w:rPr>
          <w:rFonts w:cs="David"/>
          <w:sz w:val="24"/>
          <w:szCs w:val="24"/>
          <w:rtl/>
        </w:rPr>
        <w:t xml:space="preserve">, המוסר המלצותיו - אכן לא הגיע (הנאשם כאן) אל קו הגמר או לחילופין אם נשאר נאמנים לדימוי, לא הגיע בזמן ראוי. </w:t>
      </w:r>
    </w:p>
    <w:p w:rsidR="00FA4CA6" w:rsidRDefault="00FA4CA6" w:rsidP="00FA4CA6">
      <w:pPr>
        <w:pStyle w:val="ac"/>
        <w:rPr>
          <w:rFonts w:cs="David"/>
          <w:sz w:val="24"/>
          <w:szCs w:val="24"/>
        </w:rPr>
      </w:pPr>
    </w:p>
    <w:p w:rsidR="00FA4CA6" w:rsidRDefault="00FA4CA6" w:rsidP="00FA4CA6">
      <w:pPr>
        <w:pStyle w:val="ac"/>
        <w:spacing w:line="360" w:lineRule="auto"/>
        <w:ind w:left="0"/>
        <w:jc w:val="both"/>
        <w:rPr>
          <w:rFonts w:cs="David"/>
          <w:sz w:val="24"/>
          <w:szCs w:val="24"/>
          <w:rtl/>
        </w:rPr>
      </w:pPr>
      <w:r>
        <w:rPr>
          <w:rFonts w:cs="David"/>
          <w:sz w:val="24"/>
          <w:szCs w:val="24"/>
          <w:rtl/>
        </w:rPr>
        <w:t xml:space="preserve">אלא ששיקום ניתן גם למדוד בסימנים של </w:t>
      </w:r>
      <w:r>
        <w:rPr>
          <w:rFonts w:cs="David"/>
          <w:b/>
          <w:bCs/>
          <w:sz w:val="24"/>
          <w:szCs w:val="24"/>
          <w:u w:val="single"/>
          <w:rtl/>
        </w:rPr>
        <w:t>ערך מוחלט</w:t>
      </w:r>
      <w:r>
        <w:rPr>
          <w:rFonts w:cs="David"/>
          <w:sz w:val="24"/>
          <w:szCs w:val="24"/>
          <w:rtl/>
        </w:rPr>
        <w:t xml:space="preserve">. אמנם קיימים מדדים חיוניים </w:t>
      </w:r>
      <w:proofErr w:type="spellStart"/>
      <w:r>
        <w:rPr>
          <w:rFonts w:cs="David"/>
          <w:sz w:val="24"/>
          <w:szCs w:val="24"/>
          <w:rtl/>
        </w:rPr>
        <w:t>בילתם</w:t>
      </w:r>
      <w:proofErr w:type="spellEnd"/>
      <w:r>
        <w:rPr>
          <w:rFonts w:cs="David"/>
          <w:sz w:val="24"/>
          <w:szCs w:val="24"/>
          <w:rtl/>
        </w:rPr>
        <w:t xml:space="preserve"> אין – כגון לקיחת אחריות, אי פתיחת תיקים פליליים השתתפות בטיפול, אלא שלא כל שיקום יכול ויזכה לציון אותו ניתן להשוות בין נאשם לנאשם.</w:t>
      </w:r>
    </w:p>
    <w:p w:rsidR="00FA4CA6" w:rsidRDefault="00FA4CA6" w:rsidP="00FA4CA6">
      <w:pPr>
        <w:pStyle w:val="ac"/>
        <w:rPr>
          <w:rFonts w:cs="David"/>
          <w:sz w:val="24"/>
          <w:szCs w:val="24"/>
          <w:rtl/>
        </w:rPr>
      </w:pPr>
    </w:p>
    <w:p w:rsidR="00FA4CA6" w:rsidRDefault="00FA4CA6" w:rsidP="00FA4CA6">
      <w:pPr>
        <w:pStyle w:val="ac"/>
        <w:spacing w:line="360" w:lineRule="auto"/>
        <w:ind w:left="0"/>
        <w:jc w:val="both"/>
        <w:rPr>
          <w:rFonts w:cs="David"/>
          <w:sz w:val="24"/>
          <w:szCs w:val="24"/>
        </w:rPr>
      </w:pPr>
      <w:r>
        <w:rPr>
          <w:rFonts w:cs="David"/>
          <w:b/>
          <w:bCs/>
          <w:sz w:val="24"/>
          <w:szCs w:val="24"/>
          <w:rtl/>
        </w:rPr>
        <w:t>קו הזינוק של הנאשם שבפני לא שורטט באבחה אחת ובמקביל לקו הזינוק של נערים בני גילו. נקודת המוצא של הנאשם שבפני רחוקה ונמוכה משל אחרים – הדבר בא לידי ביטוי בהנמכה הקוגניטיבית המשמעותית שהיא מנת חלקו וכן בעברו הקשה והמורכב בכל הנוגע לבעיות הנפש</w:t>
      </w:r>
      <w:r>
        <w:rPr>
          <w:rFonts w:cs="David"/>
          <w:sz w:val="24"/>
          <w:szCs w:val="24"/>
          <w:rtl/>
        </w:rPr>
        <w:t>. הדרך שעשה הנאשם  - כאמור בסימני ערך מוחלט - היא משמעותית ורבה. נפנה שוב לסעיף 1א אותו הבאתי כאמור – לבגרותו של נאשם קיימת משמעות וברור כי ההנמכה הקוגניטיבית רלבנטית לענייננו.</w:t>
      </w:r>
    </w:p>
    <w:p w:rsidR="00FA4CA6" w:rsidRDefault="00FA4CA6" w:rsidP="00FA4CA6">
      <w:pPr>
        <w:pStyle w:val="ac"/>
        <w:rPr>
          <w:rFonts w:cs="David"/>
          <w:sz w:val="24"/>
          <w:szCs w:val="24"/>
          <w:rtl/>
        </w:rPr>
      </w:pPr>
    </w:p>
    <w:p w:rsidR="00FA4CA6" w:rsidRDefault="00FA4CA6" w:rsidP="00FA4CA6">
      <w:pPr>
        <w:pStyle w:val="ac"/>
        <w:spacing w:line="360" w:lineRule="auto"/>
        <w:ind w:left="0"/>
        <w:jc w:val="both"/>
        <w:rPr>
          <w:rFonts w:cs="David"/>
          <w:sz w:val="24"/>
          <w:szCs w:val="24"/>
        </w:rPr>
      </w:pPr>
      <w:r>
        <w:rPr>
          <w:rFonts w:cs="David"/>
          <w:sz w:val="24"/>
          <w:szCs w:val="24"/>
          <w:rtl/>
        </w:rPr>
        <w:t xml:space="preserve">הנאשם הוכרז כקטין נזקק בשל המצב המורכב בביתו ובשל נסיבותיו וכן </w:t>
      </w:r>
      <w:r>
        <w:rPr>
          <w:rFonts w:cs="David"/>
          <w:b/>
          <w:bCs/>
          <w:sz w:val="24"/>
          <w:szCs w:val="24"/>
          <w:u w:val="single"/>
          <w:rtl/>
        </w:rPr>
        <w:t>אושפז בגיל רך בשנים אשפוז פסיכיאטרי ארוך טווח</w:t>
      </w:r>
      <w:r>
        <w:rPr>
          <w:rFonts w:cs="David"/>
          <w:sz w:val="24"/>
          <w:szCs w:val="24"/>
          <w:rtl/>
        </w:rPr>
        <w:t xml:space="preserve">. אין המדובר בנתונים המונחים לפתחו של בית משפט כדרך של שגרה. אשר על כן יש להבין משמעותו של </w:t>
      </w:r>
      <w:r>
        <w:rPr>
          <w:rFonts w:cs="David"/>
          <w:b/>
          <w:bCs/>
          <w:sz w:val="24"/>
          <w:szCs w:val="24"/>
          <w:u w:val="single"/>
          <w:rtl/>
        </w:rPr>
        <w:t>עומק השיקום</w:t>
      </w:r>
      <w:r>
        <w:rPr>
          <w:rFonts w:cs="David"/>
          <w:sz w:val="24"/>
          <w:szCs w:val="24"/>
          <w:rtl/>
        </w:rPr>
        <w:t xml:space="preserve"> שערך הנאשם בכוחות העומדים לרשותו.</w:t>
      </w:r>
    </w:p>
    <w:p w:rsidR="00FA4CA6" w:rsidRDefault="00FA4CA6" w:rsidP="00FA4CA6">
      <w:pPr>
        <w:pStyle w:val="ac"/>
        <w:rPr>
          <w:rFonts w:cs="David"/>
          <w:sz w:val="24"/>
          <w:szCs w:val="24"/>
          <w:rtl/>
        </w:rPr>
      </w:pPr>
    </w:p>
    <w:p w:rsidR="00FA4CA6" w:rsidRDefault="00FA4CA6" w:rsidP="00FA4CA6">
      <w:pPr>
        <w:pStyle w:val="ac"/>
        <w:spacing w:line="360" w:lineRule="auto"/>
        <w:ind w:left="0"/>
        <w:jc w:val="both"/>
        <w:rPr>
          <w:rFonts w:cs="David"/>
          <w:sz w:val="24"/>
          <w:szCs w:val="24"/>
        </w:rPr>
      </w:pPr>
      <w:r>
        <w:rPr>
          <w:rFonts w:cs="David"/>
          <w:sz w:val="24"/>
          <w:szCs w:val="24"/>
          <w:rtl/>
        </w:rPr>
        <w:t xml:space="preserve">זאת ועוד – </w:t>
      </w:r>
      <w:r>
        <w:rPr>
          <w:rFonts w:cs="David"/>
          <w:b/>
          <w:bCs/>
          <w:sz w:val="24"/>
          <w:szCs w:val="24"/>
          <w:rtl/>
        </w:rPr>
        <w:t>גם אל מול כתב האישום המתוקן עומד שיקומו של הנאשם</w:t>
      </w:r>
      <w:r>
        <w:rPr>
          <w:rFonts w:cs="David"/>
          <w:sz w:val="24"/>
          <w:szCs w:val="24"/>
          <w:rtl/>
        </w:rPr>
        <w:t xml:space="preserve"> באיזון המתאים  – יש לזכור כי כתב האישום תוקן וכיום מדובר בעבירות </w:t>
      </w:r>
      <w:r>
        <w:rPr>
          <w:rFonts w:cs="David"/>
          <w:b/>
          <w:bCs/>
          <w:sz w:val="24"/>
          <w:szCs w:val="24"/>
          <w:rtl/>
        </w:rPr>
        <w:t>מסוג עוון</w:t>
      </w:r>
      <w:r>
        <w:rPr>
          <w:rFonts w:cs="David"/>
          <w:sz w:val="24"/>
          <w:szCs w:val="24"/>
          <w:rtl/>
        </w:rPr>
        <w:t xml:space="preserve"> באישום הראשון וכשהאישום השני עניינו עבירות </w:t>
      </w:r>
      <w:r>
        <w:rPr>
          <w:rFonts w:cs="David"/>
          <w:b/>
          <w:bCs/>
          <w:sz w:val="24"/>
          <w:szCs w:val="24"/>
          <w:rtl/>
        </w:rPr>
        <w:t>של הטרדה מינית</w:t>
      </w:r>
      <w:r>
        <w:rPr>
          <w:rFonts w:cs="David"/>
          <w:sz w:val="24"/>
          <w:szCs w:val="24"/>
          <w:rtl/>
        </w:rPr>
        <w:t xml:space="preserve"> (של קטינים) – זאת מבלי לגרוע מחומרת הדברים.</w:t>
      </w:r>
    </w:p>
    <w:p w:rsidR="00FA4CA6" w:rsidRDefault="00FA4CA6" w:rsidP="00FA4CA6">
      <w:pPr>
        <w:pStyle w:val="ac"/>
        <w:rPr>
          <w:rFonts w:cs="David"/>
          <w:sz w:val="24"/>
          <w:szCs w:val="24"/>
          <w:rtl/>
        </w:rPr>
      </w:pPr>
    </w:p>
    <w:p w:rsidR="00FA4CA6" w:rsidRDefault="00FA4CA6" w:rsidP="00FA4CA6">
      <w:pPr>
        <w:pStyle w:val="ac"/>
        <w:spacing w:line="360" w:lineRule="auto"/>
        <w:ind w:left="0"/>
        <w:jc w:val="both"/>
        <w:rPr>
          <w:rFonts w:cs="David"/>
          <w:sz w:val="24"/>
          <w:szCs w:val="24"/>
        </w:rPr>
      </w:pPr>
      <w:r>
        <w:rPr>
          <w:rFonts w:cs="David"/>
          <w:sz w:val="24"/>
          <w:szCs w:val="24"/>
          <w:rtl/>
        </w:rPr>
        <w:lastRenderedPageBreak/>
        <w:t xml:space="preserve">העבירות בוצעו במתחם הווירטואלי והמאשימה ציינה כי אין בכך בכדי להחליש חומרתם והגישה כאמור את </w:t>
      </w:r>
      <w:proofErr w:type="spellStart"/>
      <w:r>
        <w:rPr>
          <w:rFonts w:cs="David"/>
          <w:b/>
          <w:bCs/>
          <w:sz w:val="24"/>
          <w:szCs w:val="24"/>
          <w:rtl/>
        </w:rPr>
        <w:t>רע"פ</w:t>
      </w:r>
      <w:proofErr w:type="spellEnd"/>
      <w:r>
        <w:rPr>
          <w:rFonts w:cs="David"/>
          <w:b/>
          <w:bCs/>
          <w:sz w:val="24"/>
          <w:szCs w:val="24"/>
          <w:rtl/>
        </w:rPr>
        <w:t xml:space="preserve"> 4593/20 </w:t>
      </w:r>
      <w:r>
        <w:rPr>
          <w:rFonts w:cs="David"/>
          <w:sz w:val="24"/>
          <w:szCs w:val="24"/>
          <w:rtl/>
        </w:rPr>
        <w:t>על מנת ללמדנו גזירה שווה - דומני כי אין בסיס להשוואה.</w:t>
      </w:r>
    </w:p>
    <w:p w:rsidR="00FA4CA6" w:rsidRDefault="00FA4CA6" w:rsidP="00FA4CA6">
      <w:pPr>
        <w:pStyle w:val="ac"/>
        <w:rPr>
          <w:rFonts w:cs="David"/>
          <w:sz w:val="24"/>
          <w:szCs w:val="24"/>
          <w:rtl/>
        </w:rPr>
      </w:pPr>
    </w:p>
    <w:p w:rsidR="00FA4CA6" w:rsidRDefault="00FA4CA6" w:rsidP="00FA4CA6">
      <w:pPr>
        <w:pStyle w:val="ac"/>
        <w:spacing w:line="360" w:lineRule="auto"/>
        <w:ind w:left="0"/>
        <w:jc w:val="both"/>
        <w:rPr>
          <w:rFonts w:cs="David"/>
          <w:sz w:val="24"/>
          <w:szCs w:val="24"/>
        </w:rPr>
      </w:pPr>
      <w:r>
        <w:rPr>
          <w:rFonts w:cs="David"/>
          <w:sz w:val="24"/>
          <w:szCs w:val="24"/>
          <w:rtl/>
        </w:rPr>
        <w:t xml:space="preserve">תחילה כאמור, כתב האישום שלפני תוקן ומדובר בעבירה של מעשה מגונה באישום הראשון (עבירת עוון) ובעבירות של הטרדה מינית באישום השני. מדובר בעבירות שבוצעו ללא כל תחכום, גסות ככל שיהיו וכן בהתכתבויות </w:t>
      </w:r>
      <w:r>
        <w:rPr>
          <w:rFonts w:cs="David"/>
          <w:b/>
          <w:bCs/>
          <w:sz w:val="24"/>
          <w:szCs w:val="24"/>
          <w:rtl/>
        </w:rPr>
        <w:t>קצרות טווח.</w:t>
      </w:r>
      <w:r>
        <w:rPr>
          <w:rFonts w:cs="David"/>
          <w:sz w:val="24"/>
          <w:szCs w:val="24"/>
          <w:rtl/>
        </w:rPr>
        <w:t xml:space="preserve"> </w:t>
      </w:r>
    </w:p>
    <w:p w:rsidR="00FA4CA6" w:rsidRDefault="00FA4CA6" w:rsidP="00FA4CA6">
      <w:pPr>
        <w:pStyle w:val="ac"/>
        <w:rPr>
          <w:rFonts w:cs="David"/>
          <w:sz w:val="24"/>
          <w:szCs w:val="24"/>
          <w:rtl/>
        </w:rPr>
      </w:pPr>
    </w:p>
    <w:p w:rsidR="00FA4CA6" w:rsidRDefault="00FA4CA6" w:rsidP="00FA4CA6">
      <w:pPr>
        <w:pStyle w:val="ac"/>
        <w:spacing w:line="360" w:lineRule="auto"/>
        <w:ind w:left="0"/>
        <w:jc w:val="both"/>
        <w:rPr>
          <w:rFonts w:cs="David"/>
          <w:sz w:val="24"/>
          <w:szCs w:val="24"/>
        </w:rPr>
      </w:pPr>
      <w:r>
        <w:rPr>
          <w:rFonts w:cs="David"/>
          <w:sz w:val="24"/>
          <w:szCs w:val="24"/>
          <w:rtl/>
        </w:rPr>
        <w:t xml:space="preserve">אל מול זאת, </w:t>
      </w:r>
      <w:proofErr w:type="spellStart"/>
      <w:r>
        <w:rPr>
          <w:rFonts w:cs="David"/>
          <w:sz w:val="24"/>
          <w:szCs w:val="24"/>
          <w:rtl/>
        </w:rPr>
        <w:t>ברע"פ</w:t>
      </w:r>
      <w:proofErr w:type="spellEnd"/>
      <w:r>
        <w:rPr>
          <w:rFonts w:cs="David"/>
          <w:sz w:val="24"/>
          <w:szCs w:val="24"/>
          <w:rtl/>
        </w:rPr>
        <w:t xml:space="preserve"> שהוגש, די אם אצטט דבריו של כב' השופט אלרון על מנת להבין ההבדל: "...קשה להפריז בחומרת מעשיו של המבקש, </w:t>
      </w:r>
      <w:r>
        <w:rPr>
          <w:rFonts w:cs="David"/>
          <w:b/>
          <w:bCs/>
          <w:sz w:val="24"/>
          <w:szCs w:val="24"/>
          <w:rtl/>
        </w:rPr>
        <w:t>שהציג עצמו לקטינים בכזב כקטינה</w:t>
      </w:r>
      <w:r>
        <w:rPr>
          <w:rFonts w:cs="David"/>
          <w:sz w:val="24"/>
          <w:szCs w:val="24"/>
          <w:rtl/>
        </w:rPr>
        <w:t xml:space="preserve">, ניצל את תמימותם ואת רחמיהם על אותה נערה העלולה להיחטף ואיים עליהם בחורבן העולם. </w:t>
      </w:r>
      <w:proofErr w:type="spellStart"/>
      <w:r>
        <w:rPr>
          <w:rFonts w:cs="David"/>
          <w:sz w:val="24"/>
          <w:szCs w:val="24"/>
          <w:rtl/>
        </w:rPr>
        <w:t>הכל</w:t>
      </w:r>
      <w:proofErr w:type="spellEnd"/>
      <w:r>
        <w:rPr>
          <w:rFonts w:cs="David"/>
          <w:sz w:val="24"/>
          <w:szCs w:val="24"/>
          <w:rtl/>
        </w:rPr>
        <w:t xml:space="preserve"> כדי לספק את דחפיו המיניים ורצונו להשיג </w:t>
      </w:r>
      <w:proofErr w:type="spellStart"/>
      <w:r>
        <w:rPr>
          <w:rFonts w:cs="David"/>
          <w:sz w:val="24"/>
          <w:szCs w:val="24"/>
          <w:rtl/>
        </w:rPr>
        <w:t>כח</w:t>
      </w:r>
      <w:proofErr w:type="spellEnd"/>
      <w:r>
        <w:rPr>
          <w:rFonts w:cs="David"/>
          <w:sz w:val="24"/>
          <w:szCs w:val="24"/>
          <w:rtl/>
        </w:rPr>
        <w:t xml:space="preserve"> ושליטה עליהם... </w:t>
      </w:r>
      <w:r>
        <w:rPr>
          <w:rFonts w:cs="David"/>
          <w:b/>
          <w:bCs/>
          <w:sz w:val="24"/>
          <w:szCs w:val="24"/>
          <w:rtl/>
        </w:rPr>
        <w:t>במסגרת מעשיו ניסה המבקש לגרום לקטין בן 13.5 לבצע מעשה סדום באחיו בן ה9,</w:t>
      </w:r>
      <w:r>
        <w:rPr>
          <w:rFonts w:cs="David"/>
          <w:sz w:val="24"/>
          <w:szCs w:val="24"/>
          <w:rtl/>
        </w:rPr>
        <w:t xml:space="preserve"> עבירה שהעונש בגינה בלבד </w:t>
      </w:r>
      <w:r>
        <w:rPr>
          <w:rFonts w:cs="David"/>
          <w:b/>
          <w:bCs/>
          <w:sz w:val="24"/>
          <w:szCs w:val="24"/>
          <w:rtl/>
        </w:rPr>
        <w:t>קבוע ל20 שנות מאסר</w:t>
      </w:r>
      <w:r>
        <w:rPr>
          <w:rFonts w:cs="David"/>
          <w:sz w:val="24"/>
          <w:szCs w:val="24"/>
          <w:rtl/>
        </w:rPr>
        <w:t>. משסירב הקטין להיענות לדרישה זו גרם להם המבקש לבצע זה בזה מעשים מגונים כדי לספק תאוותיו" (הדגשות שלי – ב.ק) .</w:t>
      </w:r>
    </w:p>
    <w:p w:rsidR="00FA4CA6" w:rsidRDefault="00FA4CA6" w:rsidP="00FA4CA6">
      <w:pPr>
        <w:pStyle w:val="ac"/>
        <w:spacing w:line="360" w:lineRule="auto"/>
        <w:jc w:val="both"/>
        <w:rPr>
          <w:rFonts w:cs="David"/>
          <w:sz w:val="24"/>
          <w:szCs w:val="24"/>
        </w:rPr>
      </w:pPr>
    </w:p>
    <w:p w:rsidR="00FA4CA6" w:rsidRDefault="00FA4CA6" w:rsidP="00FA4CA6">
      <w:pPr>
        <w:pStyle w:val="ac"/>
        <w:spacing w:line="360" w:lineRule="auto"/>
        <w:ind w:left="0"/>
        <w:jc w:val="both"/>
        <w:rPr>
          <w:rFonts w:cs="David"/>
          <w:sz w:val="24"/>
          <w:szCs w:val="24"/>
          <w:rtl/>
        </w:rPr>
      </w:pPr>
      <w:r>
        <w:rPr>
          <w:rFonts w:cs="David"/>
          <w:sz w:val="24"/>
          <w:szCs w:val="24"/>
          <w:rtl/>
        </w:rPr>
        <w:t>הנה כי כן, תחכום ועלילת זדון של ממש ולאורך זמן מונחים היו לפתחו של בית המשפט בתיק הנ"ל.</w:t>
      </w:r>
    </w:p>
    <w:p w:rsidR="00FA4CA6" w:rsidRDefault="00FA4CA6" w:rsidP="00FA4CA6">
      <w:pPr>
        <w:pStyle w:val="ac"/>
        <w:rPr>
          <w:rFonts w:cs="David"/>
          <w:sz w:val="24"/>
          <w:szCs w:val="24"/>
          <w:rtl/>
        </w:rPr>
      </w:pPr>
    </w:p>
    <w:p w:rsidR="00FA4CA6" w:rsidRDefault="00FA4CA6" w:rsidP="00FA4CA6">
      <w:pPr>
        <w:pStyle w:val="ac"/>
        <w:spacing w:line="360" w:lineRule="auto"/>
        <w:ind w:left="0"/>
        <w:jc w:val="both"/>
        <w:rPr>
          <w:rFonts w:cs="David"/>
          <w:b/>
          <w:bCs/>
          <w:sz w:val="24"/>
          <w:szCs w:val="24"/>
        </w:rPr>
      </w:pPr>
      <w:r>
        <w:rPr>
          <w:rFonts w:cs="David"/>
          <w:b/>
          <w:bCs/>
          <w:sz w:val="24"/>
          <w:szCs w:val="24"/>
          <w:rtl/>
        </w:rPr>
        <w:t xml:space="preserve">זאת ועוד - העבירות שיוחסו (שם) לקטין חמורות לאין ערוך – מדובר בעבירות לפי סעיף 345א (2) 345 (ב) (1) 347 (ב) 348 (ב) וכו' – מדובר בצבר עבירות משמעותי חלקן עבירות מסוג פשע שהעונש הקבוע </w:t>
      </w:r>
      <w:proofErr w:type="spellStart"/>
      <w:r>
        <w:rPr>
          <w:rFonts w:cs="David"/>
          <w:b/>
          <w:bCs/>
          <w:sz w:val="24"/>
          <w:szCs w:val="24"/>
          <w:rtl/>
        </w:rPr>
        <w:t>לצידן</w:t>
      </w:r>
      <w:proofErr w:type="spellEnd"/>
      <w:r>
        <w:rPr>
          <w:rFonts w:cs="David"/>
          <w:b/>
          <w:bCs/>
          <w:sz w:val="24"/>
          <w:szCs w:val="24"/>
          <w:rtl/>
        </w:rPr>
        <w:t xml:space="preserve"> הוא עשרות שנות מאסר.</w:t>
      </w:r>
    </w:p>
    <w:p w:rsidR="00FA4CA6" w:rsidRDefault="00FA4CA6" w:rsidP="00FA4CA6">
      <w:pPr>
        <w:pStyle w:val="ac"/>
        <w:rPr>
          <w:rFonts w:cs="David"/>
          <w:sz w:val="24"/>
          <w:szCs w:val="24"/>
          <w:rtl/>
        </w:rPr>
      </w:pPr>
    </w:p>
    <w:p w:rsidR="00FA4CA6" w:rsidRDefault="00FA4CA6" w:rsidP="00FA4CA6">
      <w:pPr>
        <w:pStyle w:val="ac"/>
        <w:spacing w:line="360" w:lineRule="auto"/>
        <w:ind w:left="0"/>
        <w:jc w:val="both"/>
        <w:rPr>
          <w:rFonts w:cs="David"/>
          <w:b/>
          <w:bCs/>
          <w:sz w:val="24"/>
          <w:szCs w:val="24"/>
        </w:rPr>
      </w:pPr>
      <w:r>
        <w:rPr>
          <w:rFonts w:cs="David"/>
          <w:sz w:val="24"/>
          <w:szCs w:val="24"/>
          <w:rtl/>
        </w:rPr>
        <w:t xml:space="preserve">אכן הקטין (שם) גילו צעיר מגילו של הנאשם שבפני (15.5 מול 17) אך בשל ההנמכה הקוגניטיבית נוטה אני פחות לייחס משקל לגילו של הנאשם כמו כן שם עסקינן בחמישה מתלוננים קטינים ארבעה </w:t>
      </w:r>
      <w:proofErr w:type="spellStart"/>
      <w:r>
        <w:rPr>
          <w:rFonts w:cs="David"/>
          <w:sz w:val="24"/>
          <w:szCs w:val="24"/>
          <w:rtl/>
        </w:rPr>
        <w:t>אישומים</w:t>
      </w:r>
      <w:proofErr w:type="spellEnd"/>
      <w:r>
        <w:rPr>
          <w:rFonts w:cs="David"/>
          <w:sz w:val="24"/>
          <w:szCs w:val="24"/>
          <w:rtl/>
        </w:rPr>
        <w:t xml:space="preserve"> והתכתבויות ארוכות וחמורות פי כמה וכאמור ממילא – </w:t>
      </w:r>
      <w:r>
        <w:rPr>
          <w:rFonts w:cs="David"/>
          <w:b/>
          <w:bCs/>
          <w:sz w:val="24"/>
          <w:szCs w:val="24"/>
          <w:rtl/>
        </w:rPr>
        <w:t xml:space="preserve">אין בסיס להשוואה לאור כל המתואר מלבד לעצם העובדה כי בוצעו גם הן בתחום הווירטואלי. </w:t>
      </w:r>
    </w:p>
    <w:p w:rsidR="00FA4CA6" w:rsidRDefault="00FA4CA6" w:rsidP="00FA4CA6">
      <w:pPr>
        <w:pStyle w:val="ac"/>
        <w:rPr>
          <w:rFonts w:cs="David"/>
          <w:b/>
          <w:bCs/>
          <w:sz w:val="24"/>
          <w:szCs w:val="24"/>
          <w:rtl/>
        </w:rPr>
      </w:pPr>
    </w:p>
    <w:p w:rsidR="00FA4CA6" w:rsidRDefault="00FA4CA6" w:rsidP="00FA4CA6">
      <w:pPr>
        <w:pStyle w:val="ac"/>
        <w:spacing w:line="360" w:lineRule="auto"/>
        <w:ind w:left="0"/>
        <w:jc w:val="both"/>
        <w:rPr>
          <w:rFonts w:cs="David"/>
          <w:b/>
          <w:bCs/>
          <w:sz w:val="24"/>
          <w:szCs w:val="24"/>
          <w:u w:val="single"/>
        </w:rPr>
      </w:pPr>
      <w:r>
        <w:rPr>
          <w:rFonts w:cs="David"/>
          <w:b/>
          <w:bCs/>
          <w:sz w:val="24"/>
          <w:szCs w:val="24"/>
          <w:rtl/>
        </w:rPr>
        <w:t>אשר על כל האמור, ו</w:t>
      </w:r>
      <w:r>
        <w:rPr>
          <w:rFonts w:cs="David"/>
          <w:b/>
          <w:bCs/>
          <w:sz w:val="24"/>
          <w:szCs w:val="24"/>
          <w:u w:val="single"/>
          <w:rtl/>
        </w:rPr>
        <w:t>כן בידוע כי בית משפט זה מונחה בראש ובראשונה על ידי אינטרס השיקום של הקטינים הבאים בפניו שוכנעתי כי אין מדובר בנאשם בעל נורמות עברייניות</w:t>
      </w:r>
      <w:r>
        <w:rPr>
          <w:rFonts w:cs="David"/>
          <w:sz w:val="24"/>
          <w:szCs w:val="24"/>
          <w:rtl/>
        </w:rPr>
        <w:t>.</w:t>
      </w:r>
    </w:p>
    <w:p w:rsidR="00FA4CA6" w:rsidRDefault="00FA4CA6" w:rsidP="00FA4CA6">
      <w:pPr>
        <w:pStyle w:val="ac"/>
        <w:rPr>
          <w:rFonts w:cs="David"/>
          <w:b/>
          <w:bCs/>
          <w:sz w:val="24"/>
          <w:szCs w:val="24"/>
          <w:u w:val="single"/>
          <w:rtl/>
        </w:rPr>
      </w:pPr>
    </w:p>
    <w:p w:rsidR="00FA4CA6" w:rsidRDefault="00FA4CA6" w:rsidP="00FA4CA6">
      <w:pPr>
        <w:pStyle w:val="ac"/>
        <w:spacing w:line="360" w:lineRule="auto"/>
        <w:ind w:left="0"/>
        <w:jc w:val="both"/>
        <w:rPr>
          <w:rFonts w:cs="David"/>
          <w:sz w:val="24"/>
          <w:szCs w:val="24"/>
          <w:u w:val="single"/>
        </w:rPr>
      </w:pPr>
      <w:r>
        <w:rPr>
          <w:rFonts w:cs="David"/>
          <w:b/>
          <w:bCs/>
          <w:sz w:val="24"/>
          <w:szCs w:val="24"/>
          <w:rtl/>
        </w:rPr>
        <w:t xml:space="preserve">אדגיש שוב כי אין מדובר במטוטלת </w:t>
      </w:r>
      <w:r>
        <w:rPr>
          <w:rFonts w:cs="David"/>
          <w:sz w:val="24"/>
          <w:szCs w:val="24"/>
          <w:rtl/>
        </w:rPr>
        <w:t xml:space="preserve">– אימוץ המלצות </w:t>
      </w:r>
      <w:proofErr w:type="spellStart"/>
      <w:r>
        <w:rPr>
          <w:rFonts w:cs="David"/>
          <w:sz w:val="24"/>
          <w:szCs w:val="24"/>
          <w:rtl/>
        </w:rPr>
        <w:t>שמ"ל</w:t>
      </w:r>
      <w:proofErr w:type="spellEnd"/>
      <w:r>
        <w:rPr>
          <w:rFonts w:cs="David"/>
          <w:sz w:val="24"/>
          <w:szCs w:val="24"/>
          <w:rtl/>
        </w:rPr>
        <w:t xml:space="preserve"> והליכה לקראת נאשם איננה "על חשבון" המתלוננות, סבלן ומעמדן. יש מקום לשמר האינטרס הציבורי שמהותו גם שיקומו של נאשם קטין וגם שמירה על מתלוננות.</w:t>
      </w:r>
    </w:p>
    <w:p w:rsidR="00FA4CA6" w:rsidRDefault="00FA4CA6" w:rsidP="00FA4CA6">
      <w:pPr>
        <w:pStyle w:val="ac"/>
        <w:rPr>
          <w:rFonts w:cs="David"/>
          <w:sz w:val="24"/>
          <w:szCs w:val="24"/>
          <w:u w:val="single"/>
          <w:rtl/>
        </w:rPr>
      </w:pPr>
    </w:p>
    <w:p w:rsidR="00FA4CA6" w:rsidRDefault="00FA4CA6" w:rsidP="00FA4CA6">
      <w:pPr>
        <w:pStyle w:val="ac"/>
        <w:spacing w:line="360" w:lineRule="auto"/>
        <w:ind w:left="0"/>
        <w:jc w:val="both"/>
        <w:rPr>
          <w:rFonts w:cs="David"/>
          <w:sz w:val="24"/>
          <w:szCs w:val="24"/>
        </w:rPr>
      </w:pPr>
      <w:r>
        <w:rPr>
          <w:rFonts w:cs="David"/>
          <w:sz w:val="24"/>
          <w:szCs w:val="24"/>
          <w:rtl/>
        </w:rPr>
        <w:t xml:space="preserve">עם זאת, מתחה ההגנה את החבל ייתר על המידה עת ביקשה שלא להשית </w:t>
      </w:r>
      <w:proofErr w:type="spellStart"/>
      <w:r>
        <w:rPr>
          <w:rFonts w:cs="David"/>
          <w:sz w:val="24"/>
          <w:szCs w:val="24"/>
          <w:rtl/>
        </w:rPr>
        <w:t>של"צ</w:t>
      </w:r>
      <w:proofErr w:type="spellEnd"/>
      <w:r>
        <w:rPr>
          <w:rFonts w:cs="David"/>
          <w:sz w:val="24"/>
          <w:szCs w:val="24"/>
          <w:rtl/>
        </w:rPr>
        <w:t xml:space="preserve"> וכן התחשבות לעניין הפיצוי.</w:t>
      </w:r>
    </w:p>
    <w:p w:rsidR="00FA4CA6" w:rsidRDefault="00FA4CA6" w:rsidP="00FA4CA6">
      <w:pPr>
        <w:pStyle w:val="ac"/>
        <w:rPr>
          <w:rFonts w:cs="David"/>
          <w:b/>
          <w:bCs/>
          <w:sz w:val="24"/>
          <w:szCs w:val="24"/>
          <w:u w:val="single"/>
          <w:rtl/>
        </w:rPr>
      </w:pPr>
    </w:p>
    <w:p w:rsidR="00FA4CA6" w:rsidRDefault="00FA4CA6" w:rsidP="00FA4CA6">
      <w:pPr>
        <w:pStyle w:val="ac"/>
        <w:spacing w:line="360" w:lineRule="auto"/>
        <w:ind w:left="0"/>
        <w:jc w:val="both"/>
        <w:rPr>
          <w:rFonts w:cs="David"/>
          <w:b/>
          <w:bCs/>
          <w:sz w:val="24"/>
          <w:szCs w:val="24"/>
          <w:u w:val="single"/>
        </w:rPr>
      </w:pPr>
      <w:r>
        <w:rPr>
          <w:rFonts w:cs="David"/>
          <w:b/>
          <w:bCs/>
          <w:sz w:val="24"/>
          <w:szCs w:val="24"/>
          <w:u w:val="single"/>
          <w:rtl/>
        </w:rPr>
        <w:t>לאחר שעיינתי בתסקיר, שמעתי את טיעוני ב"כ הצדדים, ואת הנאשם החלטתי שלא להרשיעו ולנקוט כלפיו בדרכי טיפול, לפי סעיף 26 לחוק הנוער (שפיטה, ענישה ודרכי טיפול), תשל"א – 1971 – כמפורט</w:t>
      </w:r>
      <w:r>
        <w:rPr>
          <w:rFonts w:cs="David"/>
          <w:sz w:val="24"/>
          <w:szCs w:val="24"/>
          <w:rtl/>
        </w:rPr>
        <w:t>:</w:t>
      </w:r>
    </w:p>
    <w:p w:rsidR="00FA4CA6" w:rsidRDefault="00FA4CA6" w:rsidP="00FA4CA6">
      <w:pPr>
        <w:numPr>
          <w:ilvl w:val="0"/>
          <w:numId w:val="18"/>
        </w:numPr>
        <w:spacing w:after="160" w:line="360" w:lineRule="auto"/>
        <w:jc w:val="both"/>
        <w:rPr>
          <w:rtl/>
        </w:rPr>
      </w:pPr>
      <w:proofErr w:type="spellStart"/>
      <w:r>
        <w:rPr>
          <w:rtl/>
        </w:rPr>
        <w:t>מכח</w:t>
      </w:r>
      <w:proofErr w:type="spellEnd"/>
      <w:r>
        <w:rPr>
          <w:rtl/>
        </w:rPr>
        <w:t xml:space="preserve"> סעיף 72 לחוק העונשין </w:t>
      </w:r>
      <w:proofErr w:type="spellStart"/>
      <w:r>
        <w:rPr>
          <w:rtl/>
        </w:rPr>
        <w:t>התשל"ז</w:t>
      </w:r>
      <w:proofErr w:type="spellEnd"/>
      <w:r>
        <w:rPr>
          <w:rtl/>
        </w:rPr>
        <w:t xml:space="preserve"> -1977 וכן, סעיף 26 (3) + 27 ב' לחוק הנוער (שפיטה, ענישה ודרכי טיפול), תשל"א – 1971 הנאשם נתן התחייבות בפניי כי יימנע במשך שנה אחת מביצוע העבירות עליהם נתן הדין בפני – לא ימנע ישלם סך של 2,500 שקלים. </w:t>
      </w:r>
    </w:p>
    <w:p w:rsidR="00FA4CA6" w:rsidRDefault="00FA4CA6" w:rsidP="00FA4CA6">
      <w:pPr>
        <w:spacing w:line="360" w:lineRule="auto"/>
        <w:ind w:firstLine="720"/>
        <w:jc w:val="both"/>
      </w:pPr>
      <w:r>
        <w:rPr>
          <w:rtl/>
        </w:rPr>
        <w:t xml:space="preserve">הסברתי לנאשם את משמעות ההתחייבות והנגזרות שיהיו בהפרתה בשפה המובנת לו. </w:t>
      </w:r>
    </w:p>
    <w:p w:rsidR="00FA4CA6" w:rsidRDefault="00FA4CA6" w:rsidP="00FA4CA6">
      <w:pPr>
        <w:spacing w:line="360" w:lineRule="auto"/>
        <w:ind w:firstLine="720"/>
        <w:jc w:val="both"/>
        <w:rPr>
          <w:rtl/>
        </w:rPr>
      </w:pPr>
    </w:p>
    <w:p w:rsidR="00FA4CA6" w:rsidRDefault="00FA4CA6" w:rsidP="00FA4CA6">
      <w:pPr>
        <w:numPr>
          <w:ilvl w:val="0"/>
          <w:numId w:val="18"/>
        </w:numPr>
        <w:spacing w:after="160" w:line="360" w:lineRule="auto"/>
        <w:jc w:val="both"/>
        <w:rPr>
          <w:rtl/>
        </w:rPr>
      </w:pPr>
      <w:r>
        <w:rPr>
          <w:rtl/>
        </w:rPr>
        <w:t xml:space="preserve">על הנאשם לשלם פיצוי לכל אחת המתלוננות בסך של 800 שקלים בתוך 90 ימים. </w:t>
      </w:r>
    </w:p>
    <w:p w:rsidR="00FA4CA6" w:rsidRDefault="00FA4CA6" w:rsidP="00FA4CA6">
      <w:pPr>
        <w:numPr>
          <w:ilvl w:val="0"/>
          <w:numId w:val="18"/>
        </w:numPr>
        <w:spacing w:after="160" w:line="360" w:lineRule="auto"/>
        <w:jc w:val="both"/>
        <w:rPr>
          <w:rtl/>
        </w:rPr>
      </w:pPr>
      <w:r>
        <w:rPr>
          <w:rtl/>
        </w:rPr>
        <w:t>על הנאשם לבצע 100 שעות התנדבות בהתאם לתוכנית שתקבע על ידי שירות המבחן וזאת עד ליום 11/9/23. אישור על ביצוען יומצא למזכירות בית המשפט לא יאוחר משבוע מיום זה. הזהרתי את הנאשם בשפה המובנת לו כי אי ביצוע רכיב זה במלואו, במועדו, יכול ויביא להחלפתו בדרך טיפול אחרת ובכלל זה קנס כספי משמעותי. [הבהרתי לנאשם כי רכיב זה הינו חלק מרכיב המבחן ואי ביצוע ייחשב בבחינת הפרתו.]</w:t>
      </w:r>
    </w:p>
    <w:p w:rsidR="00FA4CA6" w:rsidRDefault="00FA4CA6" w:rsidP="00FA4CA6">
      <w:pPr>
        <w:spacing w:line="360" w:lineRule="auto"/>
        <w:ind w:left="720"/>
        <w:jc w:val="both"/>
      </w:pPr>
      <w:r>
        <w:rPr>
          <w:rtl/>
        </w:rPr>
        <w:t>אני מורה, כי בכפוף לכך שלנאשם אין כל חוב במערכת בתי המשפט, ולאחר קיזוז כל סכום לטובת תשלום קנס או פיצוי שנפסקו לעיל, יוחזר כל פיקדון או סכום כסף שנמצא על שמו של הנאשם בתיק זה – לידיו של הנאשם, או לידי מי שהפקידו, לפי העניין.</w:t>
      </w:r>
    </w:p>
    <w:p w:rsidR="00FA4CA6" w:rsidRDefault="00FA4CA6" w:rsidP="00FA4CA6">
      <w:pPr>
        <w:spacing w:line="360" w:lineRule="auto"/>
        <w:jc w:val="both"/>
        <w:rPr>
          <w:b/>
          <w:bCs/>
          <w:u w:val="single"/>
          <w:rtl/>
        </w:rPr>
      </w:pPr>
    </w:p>
    <w:p w:rsidR="00FA4CA6" w:rsidRDefault="00FA4CA6" w:rsidP="00FA4CA6">
      <w:pPr>
        <w:spacing w:line="360" w:lineRule="auto"/>
        <w:ind w:firstLine="720"/>
        <w:jc w:val="both"/>
        <w:rPr>
          <w:rtl/>
        </w:rPr>
      </w:pPr>
      <w:r>
        <w:rPr>
          <w:rtl/>
        </w:rPr>
        <w:t>מוצגים – מכשיר הטלפון הנייד של הנאשם שנתפס בתיק יחולט.</w:t>
      </w:r>
    </w:p>
    <w:p w:rsidR="00FA4CA6" w:rsidRDefault="00FA4CA6" w:rsidP="00FA4CA6">
      <w:pPr>
        <w:spacing w:line="360" w:lineRule="auto"/>
        <w:jc w:val="both"/>
        <w:rPr>
          <w:rtl/>
        </w:rPr>
      </w:pPr>
    </w:p>
    <w:p w:rsidR="00FA4CA6" w:rsidRDefault="00FA4CA6" w:rsidP="00FA4CA6">
      <w:pPr>
        <w:spacing w:line="360" w:lineRule="auto"/>
        <w:ind w:left="720"/>
        <w:jc w:val="both"/>
        <w:rPr>
          <w:b/>
          <w:bCs/>
          <w:u w:val="single"/>
          <w:rtl/>
        </w:rPr>
      </w:pPr>
      <w:r>
        <w:rPr>
          <w:rtl/>
        </w:rPr>
        <w:t xml:space="preserve">הסברתי לנאשם </w:t>
      </w:r>
      <w:proofErr w:type="spellStart"/>
      <w:r>
        <w:rPr>
          <w:rtl/>
        </w:rPr>
        <w:t>ולאימו</w:t>
      </w:r>
      <w:proofErr w:type="spellEnd"/>
      <w:r>
        <w:rPr>
          <w:rtl/>
        </w:rPr>
        <w:t xml:space="preserve"> את סמכותו של בימ"ש זה, לפי סעיף 30 לחוק הנוער (שפיטה, ענישה ודרכי טיפול), תשל"א - 1971, להחליף את דרך הטיפול כל עוד לא בוצע הצו במלואו, וכן את זכותו לערער על גמר דין זה בתוך 45 ימים מהיום לבית המשפט המחוזי.</w:t>
      </w:r>
    </w:p>
    <w:p w:rsidR="006531A1" w:rsidRDefault="006531A1" w:rsidP="00FA4CA6">
      <w:pPr>
        <w:rPr>
          <w:rFonts w:ascii="Arial" w:hAnsi="Arial"/>
          <w:b/>
          <w:bCs/>
          <w:sz w:val="26"/>
          <w:szCs w:val="26"/>
          <w:rtl/>
        </w:rPr>
      </w:pPr>
    </w:p>
    <w:p w:rsidR="00FA4CA6" w:rsidRDefault="00FA4CA6" w:rsidP="00FA4CA6">
      <w:pPr>
        <w:rPr>
          <w:rFonts w:ascii="Arial" w:hAnsi="Arial"/>
          <w:b/>
          <w:bCs/>
          <w:sz w:val="6"/>
          <w:szCs w:val="6"/>
          <w:rtl/>
        </w:rPr>
      </w:pPr>
      <w:r>
        <w:rPr>
          <w:rFonts w:ascii="Arial" w:hAnsi="Arial"/>
          <w:b/>
          <w:bCs/>
          <w:sz w:val="6"/>
          <w:szCs w:val="6"/>
          <w:rtl/>
        </w:rPr>
        <w:t>&lt;#3#&gt;</w:t>
      </w:r>
    </w:p>
    <w:p w:rsidR="00FA4CA6" w:rsidRDefault="00FA4CA6"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כ"ד אייר תשפ"ג</w:t>
          </w:r>
        </w:sdtContent>
      </w:sdt>
      <w:r>
        <w:rPr>
          <w:rFonts w:hint="cs"/>
          <w:b/>
          <w:bCs/>
          <w:rtl/>
        </w:rPr>
        <w:t xml:space="preserve">, </w:t>
      </w:r>
      <w:sdt>
        <w:sdtPr>
          <w:rPr>
            <w:rtl/>
          </w:rPr>
          <w:alias w:val="2206"/>
          <w:tag w:val="2206"/>
          <w:id w:val="-1474593809"/>
          <w:text w:multiLine="1"/>
        </w:sdtPr>
        <w:sdtEndPr/>
        <w:sdtContent>
          <w:r>
            <w:rPr>
              <w:b/>
              <w:bCs/>
            </w:rPr>
            <w:t>15/05/2023</w:t>
          </w:r>
        </w:sdtContent>
      </w:sdt>
      <w:r>
        <w:rPr>
          <w:rFonts w:hint="cs"/>
          <w:b/>
          <w:bCs/>
          <w:rtl/>
        </w:rPr>
        <w:t xml:space="preserve"> במעמד הנוכחים.</w:t>
      </w:r>
    </w:p>
    <w:p w:rsidR="00FA4CA6" w:rsidRDefault="00FA4CA6"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FA4CA6" w:rsidTr="00CB46FB">
        <w:trPr>
          <w:trHeight w:val="316"/>
          <w:jc w:val="right"/>
        </w:trPr>
        <w:tc>
          <w:tcPr>
            <w:tcW w:w="3936" w:type="dxa"/>
            <w:vAlign w:val="center"/>
          </w:tcPr>
          <w:p w:rsidR="00FA4CA6" w:rsidRDefault="001F266D" w:rsidP="00CB46FB">
            <w:pPr>
              <w:jc w:val="center"/>
            </w:pPr>
            <w:sdt>
              <w:sdtPr>
                <w:rPr>
                  <w:rtl/>
                </w:rPr>
                <w:alias w:val="MergeField"/>
                <w:tag w:val="2144"/>
                <w:id w:val="-2141332128"/>
              </w:sdtPr>
              <w:sdtEndPr/>
              <w:sdtContent>
                <w:r w:rsidR="00FA4CA6">
                  <w:rPr>
                    <w:noProof/>
                  </w:rPr>
                  <w:drawing>
                    <wp:inline distT="0" distB="0" distL="0" distR="0" wp14:editId="50D07946">
                      <wp:extent cx="1971675" cy="628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1971675" cy="628650"/>
                              </a:xfrm>
                              <a:prstGeom prst="rect">
                                <a:avLst/>
                              </a:prstGeom>
                            </pic:spPr>
                          </pic:pic>
                        </a:graphicData>
                      </a:graphic>
                    </wp:inline>
                  </w:drawing>
                </w:r>
              </w:sdtContent>
            </w:sdt>
          </w:p>
          <w:p w:rsidR="00FA4CA6" w:rsidRDefault="00FA4CA6" w:rsidP="00CB46FB">
            <w:pPr>
              <w:jc w:val="center"/>
              <w:rPr>
                <w:rtl/>
              </w:rPr>
            </w:pPr>
          </w:p>
        </w:tc>
      </w:tr>
      <w:tr w:rsidR="00FA4CA6" w:rsidTr="00CB46FB">
        <w:trPr>
          <w:trHeight w:val="361"/>
          <w:jc w:val="right"/>
        </w:trPr>
        <w:tc>
          <w:tcPr>
            <w:tcW w:w="3936" w:type="dxa"/>
            <w:vAlign w:val="center"/>
          </w:tcPr>
          <w:p w:rsidR="00FA4CA6" w:rsidRPr="00C02017" w:rsidRDefault="001F266D" w:rsidP="00CB46FB">
            <w:pPr>
              <w:jc w:val="center"/>
              <w:rPr>
                <w:rFonts w:cs="David"/>
                <w:b/>
                <w:bCs/>
                <w:rtl/>
              </w:rPr>
            </w:pPr>
            <w:sdt>
              <w:sdtPr>
                <w:rPr>
                  <w:b/>
                  <w:bCs/>
                  <w:rtl/>
                </w:rPr>
                <w:alias w:val="2141"/>
                <w:tag w:val="2141"/>
                <w:id w:val="2119712613"/>
                <w:placeholder>
                  <w:docPart w:val="0F5062350FDE488BB69C3766BDF04FCB"/>
                </w:placeholder>
                <w:text w:multiLine="1"/>
              </w:sdtPr>
              <w:sdtEndPr/>
              <w:sdtContent>
                <w:r w:rsidR="00FA4CA6">
                  <w:rPr>
                    <w:rFonts w:cs="David"/>
                    <w:b/>
                    <w:bCs/>
                    <w:rtl/>
                  </w:rPr>
                  <w:t>בן ציון</w:t>
                </w:r>
              </w:sdtContent>
            </w:sdt>
            <w:r w:rsidR="00FA4CA6" w:rsidRPr="00C02017">
              <w:rPr>
                <w:rFonts w:cs="David" w:hint="cs"/>
                <w:b/>
                <w:bCs/>
                <w:rtl/>
              </w:rPr>
              <w:t xml:space="preserve"> </w:t>
            </w:r>
            <w:sdt>
              <w:sdtPr>
                <w:rPr>
                  <w:rFonts w:hint="cs"/>
                  <w:b/>
                  <w:bCs/>
                  <w:rtl/>
                </w:rPr>
                <w:alias w:val="2142"/>
                <w:tag w:val="2142"/>
                <w:id w:val="-26639521"/>
                <w:placeholder>
                  <w:docPart w:val="86D9BDAFB143444CB01FA5471172A810"/>
                </w:placeholder>
                <w:text w:multiLine="1"/>
              </w:sdtPr>
              <w:sdtEndPr/>
              <w:sdtContent>
                <w:r w:rsidR="00FA4CA6">
                  <w:rPr>
                    <w:rFonts w:cs="David"/>
                    <w:b/>
                    <w:bCs/>
                    <w:rtl/>
                  </w:rPr>
                  <w:t>קבלר</w:t>
                </w:r>
              </w:sdtContent>
            </w:sdt>
            <w:r w:rsidR="00FA4CA6" w:rsidRPr="00C02017">
              <w:rPr>
                <w:rFonts w:cs="David" w:hint="cs"/>
                <w:b/>
                <w:bCs/>
                <w:rtl/>
              </w:rPr>
              <w:t xml:space="preserve">, </w:t>
            </w:r>
            <w:sdt>
              <w:sdtPr>
                <w:rPr>
                  <w:rFonts w:hint="cs"/>
                  <w:b/>
                  <w:bCs/>
                  <w:rtl/>
                </w:rPr>
                <w:alias w:val="2143"/>
                <w:tag w:val="2143"/>
                <w:id w:val="1647695366"/>
                <w:placeholder>
                  <w:docPart w:val="35CA438EF9F14BA29A89D441C80014E7"/>
                </w:placeholder>
                <w:text w:multiLine="1"/>
              </w:sdtPr>
              <w:sdtEndPr/>
              <w:sdtContent>
                <w:r w:rsidR="00FA4CA6">
                  <w:rPr>
                    <w:rFonts w:cs="David"/>
                    <w:b/>
                    <w:bCs/>
                    <w:rtl/>
                  </w:rPr>
                  <w:t>שופט</w:t>
                </w:r>
              </w:sdtContent>
            </w:sdt>
          </w:p>
        </w:tc>
      </w:tr>
    </w:tbl>
    <w:p w:rsidR="00905C2E" w:rsidRDefault="00905C2E" w:rsidP="006531A1">
      <w:pPr>
        <w:jc w:val="both"/>
      </w:pPr>
    </w:p>
    <w:sectPr w:rsidR="00905C2E" w:rsidSect="00BA67B7">
      <w:headerReference w:type="default" r:id="rId15"/>
      <w:footerReference w:type="even" r:id="rId16"/>
      <w:footerReference w:type="default" r:id="rId17"/>
      <w:pgSz w:w="11906" w:h="16838" w:code="9"/>
      <w:pgMar w:top="1440" w:right="1701" w:bottom="1440" w:left="1701" w:header="1077" w:footer="1157" w:gutter="0"/>
      <w:lnNumType w:countBy="1"/>
      <w:pgNumType w:start="19"/>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91B" w:rsidRDefault="0090791B" w:rsidP="00126238">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126238">
      <w:rPr>
        <w:rStyle w:val="a9"/>
        <w:noProof/>
        <w:rtl/>
      </w:rPr>
      <w:t>19</w:t>
    </w:r>
    <w:r>
      <w:rPr>
        <w:rStyle w:val="a9"/>
        <w:rtl/>
      </w:rPr>
      <w:fldChar w:fldCharType="end"/>
    </w:r>
  </w:p>
  <w:p w:rsidR="0090791B" w:rsidRDefault="0090791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91B" w:rsidRDefault="0090791B" w:rsidP="00126238">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1F266D">
      <w:rPr>
        <w:rStyle w:val="a9"/>
        <w:noProof/>
        <w:rtl/>
      </w:rPr>
      <w:t>19</w:t>
    </w:r>
    <w:r>
      <w:rPr>
        <w:rStyle w:val="a9"/>
        <w:rtl/>
      </w:rPr>
      <w:fldChar w:fldCharType="end"/>
    </w:r>
  </w:p>
  <w:p w:rsidR="0090791B" w:rsidRDefault="0090791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6"/>
      <w:gridCol w:w="236"/>
      <w:gridCol w:w="2042"/>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ברחובות</w:t>
              </w:r>
            </w:p>
          </w:tc>
        </w:sdtContent>
      </w:sdt>
    </w:tr>
    <w:tr w:rsidR="00EB1D9D" w:rsidTr="00A04531">
      <w:trPr>
        <w:trHeight w:val="337"/>
        <w:jc w:val="center"/>
      </w:trPr>
      <w:tc>
        <w:tcPr>
          <w:tcW w:w="6396" w:type="dxa"/>
        </w:tcPr>
        <w:p w:rsidR="00EB1D9D" w:rsidRDefault="001F266D" w:rsidP="006531A1">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63931-12-20</w:t>
              </w:r>
            </w:sdtContent>
          </w:sdt>
          <w:r w:rsidR="00E679BB">
            <w:rPr>
              <w:rFonts w:hint="cs"/>
              <w:b/>
              <w:bCs/>
              <w:sz w:val="26"/>
              <w:szCs w:val="26"/>
              <w:rtl/>
            </w:rPr>
            <w:t xml:space="preserve"> </w:t>
          </w:r>
          <w:sdt>
            <w:sdtPr>
              <w:rPr>
                <w:rtl/>
              </w:rPr>
              <w:alias w:val="293"/>
              <w:tag w:val="293"/>
              <w:id w:val="60302884"/>
              <w:text w:multiLine="1"/>
            </w:sdtPr>
            <w:sdtEndPr/>
            <w:sdtContent>
              <w:r w:rsidR="006531A1">
                <w:rPr>
                  <w:b/>
                  <w:bCs/>
                  <w:sz w:val="26"/>
                  <w:szCs w:val="26"/>
                  <w:rtl/>
                </w:rPr>
                <w:t>פרקליטות מחוז מרכז - פלילי נ</w:t>
              </w:r>
              <w:r w:rsidR="006531A1">
                <w:rPr>
                  <w:rFonts w:hint="cs"/>
                  <w:b/>
                  <w:bCs/>
                  <w:sz w:val="26"/>
                  <w:szCs w:val="26"/>
                  <w:rtl/>
                </w:rPr>
                <w:t>' פלוני</w:t>
              </w:r>
            </w:sdtContent>
          </w:sdt>
        </w:p>
        <w:p w:rsidR="008C4FAA" w:rsidRDefault="008C4FAA">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15 מאי 2023</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553A74"/>
    <w:multiLevelType w:val="hybridMultilevel"/>
    <w:tmpl w:val="7E6C64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5"/>
  </w:num>
  <w:num w:numId="3">
    <w:abstractNumId w:val="13"/>
  </w:num>
  <w:num w:numId="4">
    <w:abstractNumId w:val="12"/>
  </w:num>
  <w:num w:numId="5">
    <w:abstractNumId w:val="4"/>
  </w:num>
  <w:num w:numId="6">
    <w:abstractNumId w:val="7"/>
  </w:num>
  <w:num w:numId="7">
    <w:abstractNumId w:val="17"/>
  </w:num>
  <w:num w:numId="8">
    <w:abstractNumId w:val="0"/>
  </w:num>
  <w:num w:numId="9">
    <w:abstractNumId w:val="11"/>
  </w:num>
  <w:num w:numId="10">
    <w:abstractNumId w:val="9"/>
  </w:num>
  <w:num w:numId="11">
    <w:abstractNumId w:val="3"/>
  </w:num>
  <w:num w:numId="12">
    <w:abstractNumId w:val="16"/>
  </w:num>
  <w:num w:numId="13">
    <w:abstractNumId w:val="10"/>
  </w:num>
  <w:num w:numId="14">
    <w:abstractNumId w:val="2"/>
  </w:num>
  <w:num w:numId="15">
    <w:abstractNumId w:val="14"/>
  </w:num>
  <w:num w:numId="16">
    <w:abstractNumId w:val="1"/>
  </w:num>
  <w:num w:numId="17">
    <w:abstractNumId w:val="8"/>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63931-12-20"/>
    <w:docVar w:name="caseId" w:val="77987549"/>
    <w:docVar w:name="deriveClass" w:val="NGCS.Protocol.BL.Client.ProtocolBLClientCriminal"/>
    <w:docVar w:name="firstPageNumber" w:val="19"/>
    <w:docVar w:name="NGCS.isReservedAddressPlace" w:val="0"/>
    <w:docVar w:name="NGCS.isReservedVoucherPlace" w:val="0"/>
    <w:docVar w:name="privellegeId" w:val="2"/>
    <w:docVar w:name="protocolId" w:val="13568436"/>
    <w:docVar w:name="releaseSign" w:val="0"/>
    <w:docVar w:name="sittingDateTime" w:val="15/05/2023 11:35     "/>
    <w:docVar w:name="sittingId" w:val="95075937"/>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E37CD"/>
    <w:rsid w:val="00100FD9"/>
    <w:rsid w:val="00115104"/>
    <w:rsid w:val="00126238"/>
    <w:rsid w:val="00130DA3"/>
    <w:rsid w:val="00131385"/>
    <w:rsid w:val="00137D59"/>
    <w:rsid w:val="0014434E"/>
    <w:rsid w:val="001526FC"/>
    <w:rsid w:val="0016231B"/>
    <w:rsid w:val="00163279"/>
    <w:rsid w:val="001666D0"/>
    <w:rsid w:val="001705B8"/>
    <w:rsid w:val="00174C6C"/>
    <w:rsid w:val="0017536A"/>
    <w:rsid w:val="00180246"/>
    <w:rsid w:val="001A63A4"/>
    <w:rsid w:val="001E6DFB"/>
    <w:rsid w:val="001F266D"/>
    <w:rsid w:val="002063A6"/>
    <w:rsid w:val="00227A15"/>
    <w:rsid w:val="00237F64"/>
    <w:rsid w:val="00245547"/>
    <w:rsid w:val="002736EA"/>
    <w:rsid w:val="00296868"/>
    <w:rsid w:val="002A1C94"/>
    <w:rsid w:val="002E24EE"/>
    <w:rsid w:val="002F455E"/>
    <w:rsid w:val="002F5A82"/>
    <w:rsid w:val="00301481"/>
    <w:rsid w:val="00340759"/>
    <w:rsid w:val="0034100C"/>
    <w:rsid w:val="00342D84"/>
    <w:rsid w:val="00347ACF"/>
    <w:rsid w:val="003F6EFC"/>
    <w:rsid w:val="00406F68"/>
    <w:rsid w:val="00440118"/>
    <w:rsid w:val="00442655"/>
    <w:rsid w:val="00445270"/>
    <w:rsid w:val="004473FE"/>
    <w:rsid w:val="004752AF"/>
    <w:rsid w:val="00486DEE"/>
    <w:rsid w:val="00494C2F"/>
    <w:rsid w:val="004C0CA7"/>
    <w:rsid w:val="004D4B57"/>
    <w:rsid w:val="004F4B4A"/>
    <w:rsid w:val="00503959"/>
    <w:rsid w:val="00510083"/>
    <w:rsid w:val="00532A9F"/>
    <w:rsid w:val="00551705"/>
    <w:rsid w:val="00560CB1"/>
    <w:rsid w:val="00564AAC"/>
    <w:rsid w:val="00577444"/>
    <w:rsid w:val="0058186B"/>
    <w:rsid w:val="005832BA"/>
    <w:rsid w:val="00594F89"/>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531A1"/>
    <w:rsid w:val="006830E7"/>
    <w:rsid w:val="006A4D3D"/>
    <w:rsid w:val="006B639D"/>
    <w:rsid w:val="006C2240"/>
    <w:rsid w:val="006D72D1"/>
    <w:rsid w:val="006E3A90"/>
    <w:rsid w:val="006F0E02"/>
    <w:rsid w:val="00700409"/>
    <w:rsid w:val="00701199"/>
    <w:rsid w:val="007378AE"/>
    <w:rsid w:val="007378FE"/>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C4FAA"/>
    <w:rsid w:val="008D15AB"/>
    <w:rsid w:val="008D7896"/>
    <w:rsid w:val="008E7204"/>
    <w:rsid w:val="00905C2E"/>
    <w:rsid w:val="0090791B"/>
    <w:rsid w:val="00927BB3"/>
    <w:rsid w:val="00934BA1"/>
    <w:rsid w:val="0094049A"/>
    <w:rsid w:val="0094092B"/>
    <w:rsid w:val="00943E5D"/>
    <w:rsid w:val="009474AF"/>
    <w:rsid w:val="009521C7"/>
    <w:rsid w:val="00960E66"/>
    <w:rsid w:val="00966439"/>
    <w:rsid w:val="00974174"/>
    <w:rsid w:val="0097713F"/>
    <w:rsid w:val="0098094C"/>
    <w:rsid w:val="009857E4"/>
    <w:rsid w:val="009B24E2"/>
    <w:rsid w:val="009C08D6"/>
    <w:rsid w:val="009D7934"/>
    <w:rsid w:val="009E46EC"/>
    <w:rsid w:val="009E6E0A"/>
    <w:rsid w:val="00A04531"/>
    <w:rsid w:val="00A1573A"/>
    <w:rsid w:val="00A25356"/>
    <w:rsid w:val="00A64302"/>
    <w:rsid w:val="00A64696"/>
    <w:rsid w:val="00A67D1A"/>
    <w:rsid w:val="00A910BF"/>
    <w:rsid w:val="00A9385E"/>
    <w:rsid w:val="00AA3C0A"/>
    <w:rsid w:val="00AB1CE7"/>
    <w:rsid w:val="00AC7677"/>
    <w:rsid w:val="00AD1366"/>
    <w:rsid w:val="00B24CA7"/>
    <w:rsid w:val="00B30584"/>
    <w:rsid w:val="00B44123"/>
    <w:rsid w:val="00B6568E"/>
    <w:rsid w:val="00B66459"/>
    <w:rsid w:val="00B82C03"/>
    <w:rsid w:val="00B870E1"/>
    <w:rsid w:val="00B96F12"/>
    <w:rsid w:val="00BA3141"/>
    <w:rsid w:val="00BA67B7"/>
    <w:rsid w:val="00BD13A0"/>
    <w:rsid w:val="00BE1C76"/>
    <w:rsid w:val="00BF00B0"/>
    <w:rsid w:val="00C4595F"/>
    <w:rsid w:val="00C471D1"/>
    <w:rsid w:val="00C50277"/>
    <w:rsid w:val="00C518EA"/>
    <w:rsid w:val="00C667A1"/>
    <w:rsid w:val="00C8613B"/>
    <w:rsid w:val="00CA022A"/>
    <w:rsid w:val="00CA26CF"/>
    <w:rsid w:val="00CB6B34"/>
    <w:rsid w:val="00D0615F"/>
    <w:rsid w:val="00D12A46"/>
    <w:rsid w:val="00D23D09"/>
    <w:rsid w:val="00D2736A"/>
    <w:rsid w:val="00D57D9B"/>
    <w:rsid w:val="00D86190"/>
    <w:rsid w:val="00DA7A07"/>
    <w:rsid w:val="00DC3CD8"/>
    <w:rsid w:val="00DC4526"/>
    <w:rsid w:val="00DC7E11"/>
    <w:rsid w:val="00DD4926"/>
    <w:rsid w:val="00DF69AA"/>
    <w:rsid w:val="00E15F20"/>
    <w:rsid w:val="00E37759"/>
    <w:rsid w:val="00E4581A"/>
    <w:rsid w:val="00E620AB"/>
    <w:rsid w:val="00E679BB"/>
    <w:rsid w:val="00E74FCF"/>
    <w:rsid w:val="00E866B5"/>
    <w:rsid w:val="00EA333A"/>
    <w:rsid w:val="00EB1D9D"/>
    <w:rsid w:val="00EE410A"/>
    <w:rsid w:val="00F24B4E"/>
    <w:rsid w:val="00F30675"/>
    <w:rsid w:val="00F449AC"/>
    <w:rsid w:val="00F53B32"/>
    <w:rsid w:val="00F56690"/>
    <w:rsid w:val="00F56B3A"/>
    <w:rsid w:val="00F579C4"/>
    <w:rsid w:val="00F773E3"/>
    <w:rsid w:val="00F861D3"/>
    <w:rsid w:val="00F91F7D"/>
    <w:rsid w:val="00F941D7"/>
    <w:rsid w:val="00FA2034"/>
    <w:rsid w:val="00FA308E"/>
    <w:rsid w:val="00FA4CA6"/>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90791B"/>
    <w:rPr>
      <w:rFonts w:ascii="Times New Roman" w:eastAsia="Times New Roman" w:hAnsi="Times New Roman"/>
      <w:b/>
      <w:bCs/>
      <w:u w:val="single"/>
    </w:rPr>
  </w:style>
  <w:style w:type="paragraph" w:styleId="ac">
    <w:name w:val="List Paragraph"/>
    <w:basedOn w:val="a"/>
    <w:uiPriority w:val="34"/>
    <w:qFormat/>
    <w:rsid w:val="00FA4CA6"/>
    <w:pPr>
      <w:spacing w:after="160" w:line="254"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204879394">
      <w:bodyDiv w:val="1"/>
      <w:marLeft w:val="0"/>
      <w:marRight w:val="0"/>
      <w:marTop w:val="0"/>
      <w:marBottom w:val="0"/>
      <w:divBdr>
        <w:top w:val="none" w:sz="0" w:space="0" w:color="auto"/>
        <w:left w:val="none" w:sz="0" w:space="0" w:color="auto"/>
        <w:bottom w:val="none" w:sz="0" w:space="0" w:color="auto"/>
        <w:right w:val="none" w:sz="0" w:space="0" w:color="auto"/>
      </w:divBdr>
    </w:div>
    <w:div w:id="469516821">
      <w:bodyDiv w:val="1"/>
      <w:marLeft w:val="0"/>
      <w:marRight w:val="0"/>
      <w:marTop w:val="0"/>
      <w:marBottom w:val="0"/>
      <w:divBdr>
        <w:top w:val="none" w:sz="0" w:space="0" w:color="auto"/>
        <w:left w:val="none" w:sz="0" w:space="0" w:color="auto"/>
        <w:bottom w:val="none" w:sz="0" w:space="0" w:color="auto"/>
        <w:right w:val="none" w:sz="0" w:space="0" w:color="auto"/>
      </w:divBdr>
    </w:div>
    <w:div w:id="636107078">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48604597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E6034B"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E6034B" w:rsidRDefault="0065412F" w:rsidP="0065412F">
          <w:pPr>
            <w:pStyle w:val="F62389D86E2542B8B6FC43D6EDFA6E50"/>
          </w:pPr>
          <w:r>
            <w:rPr>
              <w:b/>
              <w:bCs/>
              <w:sz w:val="26"/>
              <w:szCs w:val="26"/>
              <w:rtl/>
            </w:rPr>
            <w:t>מספר זיהוי צד א</w:t>
          </w:r>
        </w:p>
      </w:docPartBody>
    </w:docPart>
    <w:docPart>
      <w:docPartPr>
        <w:name w:val="0F5062350FDE488BB69C3766BDF04FCB"/>
        <w:category>
          <w:name w:val="כללי"/>
          <w:gallery w:val="placeholder"/>
        </w:category>
        <w:types>
          <w:type w:val="bbPlcHdr"/>
        </w:types>
        <w:behaviors>
          <w:behavior w:val="content"/>
        </w:behaviors>
        <w:guid w:val="{B0FD5B3C-EE3F-406F-886F-1E40518F9548}"/>
      </w:docPartPr>
      <w:docPartBody>
        <w:p w:rsidR="00007FA1" w:rsidRDefault="00BA0F25" w:rsidP="00BA0F25">
          <w:pPr>
            <w:pStyle w:val="0F5062350FDE488BB69C3766BDF04FCB"/>
          </w:pPr>
          <w:r w:rsidRPr="002A7028">
            <w:rPr>
              <w:rFonts w:cs="David"/>
              <w:b/>
              <w:bCs/>
              <w:rtl/>
            </w:rPr>
            <w:t>שם פרטי חותם</w:t>
          </w:r>
        </w:p>
      </w:docPartBody>
    </w:docPart>
    <w:docPart>
      <w:docPartPr>
        <w:name w:val="86D9BDAFB143444CB01FA5471172A810"/>
        <w:category>
          <w:name w:val="כללי"/>
          <w:gallery w:val="placeholder"/>
        </w:category>
        <w:types>
          <w:type w:val="bbPlcHdr"/>
        </w:types>
        <w:behaviors>
          <w:behavior w:val="content"/>
        </w:behaviors>
        <w:guid w:val="{9FCE07EE-9657-43FA-8D24-281985E62CC9}"/>
      </w:docPartPr>
      <w:docPartBody>
        <w:p w:rsidR="00007FA1" w:rsidRDefault="00BA0F25" w:rsidP="00BA0F25">
          <w:pPr>
            <w:pStyle w:val="86D9BDAFB143444CB01FA5471172A810"/>
          </w:pPr>
          <w:r w:rsidRPr="002A7028">
            <w:rPr>
              <w:rFonts w:cs="David"/>
              <w:b/>
              <w:bCs/>
              <w:rtl/>
            </w:rPr>
            <w:t>שם משפחה חותם</w:t>
          </w:r>
        </w:p>
      </w:docPartBody>
    </w:docPart>
    <w:docPart>
      <w:docPartPr>
        <w:name w:val="35CA438EF9F14BA29A89D441C80014E7"/>
        <w:category>
          <w:name w:val="כללי"/>
          <w:gallery w:val="placeholder"/>
        </w:category>
        <w:types>
          <w:type w:val="bbPlcHdr"/>
        </w:types>
        <w:behaviors>
          <w:behavior w:val="content"/>
        </w:behaviors>
        <w:guid w:val="{05F64F9D-B412-4096-A206-D4F75D685890}"/>
      </w:docPartPr>
      <w:docPartBody>
        <w:p w:rsidR="00007FA1" w:rsidRDefault="00BA0F25" w:rsidP="00BA0F25">
          <w:pPr>
            <w:pStyle w:val="35CA438EF9F14BA29A89D441C80014E7"/>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007FA1"/>
    <w:rsid w:val="003305D0"/>
    <w:rsid w:val="0038174A"/>
    <w:rsid w:val="003E288D"/>
    <w:rsid w:val="004113C2"/>
    <w:rsid w:val="004547C5"/>
    <w:rsid w:val="0065412F"/>
    <w:rsid w:val="007D1B7A"/>
    <w:rsid w:val="007E6257"/>
    <w:rsid w:val="009009C8"/>
    <w:rsid w:val="00907022"/>
    <w:rsid w:val="00951FB8"/>
    <w:rsid w:val="00A5141A"/>
    <w:rsid w:val="00AD09F5"/>
    <w:rsid w:val="00AE1C74"/>
    <w:rsid w:val="00B63D07"/>
    <w:rsid w:val="00BA0F25"/>
    <w:rsid w:val="00E6034B"/>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0F5062350FDE488BB69C3766BDF04FCB">
    <w:name w:val="0F5062350FDE488BB69C3766BDF04FCB"/>
    <w:rsid w:val="00BA0F25"/>
    <w:pPr>
      <w:bidi/>
    </w:pPr>
  </w:style>
  <w:style w:type="paragraph" w:customStyle="1" w:styleId="86D9BDAFB143444CB01FA5471172A810">
    <w:name w:val="86D9BDAFB143444CB01FA5471172A810"/>
    <w:rsid w:val="00BA0F25"/>
    <w:pPr>
      <w:bidi/>
    </w:pPr>
  </w:style>
  <w:style w:type="paragraph" w:customStyle="1" w:styleId="35CA438EF9F14BA29A89D441C80014E7">
    <w:name w:val="35CA438EF9F14BA29A89D441C80014E7"/>
    <w:rsid w:val="00BA0F25"/>
    <w:pPr>
      <w:bidi/>
    </w:pPr>
  </w:style>
  <w:style w:type="paragraph" w:customStyle="1" w:styleId="7605F8FC7FAB404296FDCDCD7F195A44">
    <w:name w:val="7605F8FC7FAB404296FDCDCD7F195A44"/>
    <w:rsid w:val="00BA0F25"/>
    <w:pPr>
      <w:bidi/>
    </w:pPr>
  </w:style>
  <w:style w:type="paragraph" w:customStyle="1" w:styleId="E8C0302A7CB44405BB215848D5F3E2E8">
    <w:name w:val="E8C0302A7CB44405BB215848D5F3E2E8"/>
    <w:rsid w:val="00BA0F25"/>
    <w:pPr>
      <w:bidi/>
    </w:pPr>
  </w:style>
  <w:style w:type="paragraph" w:customStyle="1" w:styleId="FABD0ECEEB064FC78AC4D9EC252B14F8">
    <w:name w:val="FABD0ECEEB064FC78AC4D9EC252B14F8"/>
    <w:rsid w:val="00BA0F2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NewDataSet/>
</file>

<file path=customXml/item2.xml><?xml version="1.0" encoding="utf-8"?>
<SignatureDS>
  <dt_Signature>
    <UserUPN>022982425@GOV.IL</UserUPN>
    <FirstName>בן ציון</FirstName>
    <LastName>קבלר</LastName>
    <DisplayName>בן ציון קבלר</DisplayName>
    <SignatureGrafic>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</SignatureGrafic>
    <RoleID>11</RoleID>
    <TitleOrRoleName>שופט</TitleOrRoleName>
    <OrdinalNumber>1</OrdinalNumber>
  </dt_Signature>
</SignatureDS>
</file>

<file path=customXml/item3.xml><?xml version="1.0" encoding="utf-8"?>
<NewDataSet/>
</file>

<file path=customXml/item4.xml><?xml version="1.0" encoding="utf-8"?>
<SignatureDS>
  <dt_Signature>
    <UserUPN>022982425@GOV.IL</UserUPN>
    <FirstName>בן ציון</FirstName>
    <LastName>קבלר</LastName>
    <DisplayName>בן ציון קבלר</DisplayName>
    <SignatureGrafic>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</SignatureGrafic>
    <RoleID>11</RoleID>
    <TitleOrRoleName>שופט</TitleOrRoleName>
    <OrdinalNumber>1</OrdinalNumber>
  </dt_Signature>
</SignatureDS>
</file>

<file path=customXml/item5.xml><?xml version="1.0" encoding="utf-8"?>
<NewDataSet/>
</file>

<file path=customXml/item6.xml><?xml version="1.0" encoding="utf-8"?>
<MeetingDS>
  <dt_Meeting>
    <MeetingID>87308450</MeetingID>
    <MeetingDate>2023-05-15T00:00:00+03:00</MeetingDate>
    <StartTime>11:35     </StartTime>
    <FinishTime>11:40     </FinishTime>
    <AllDayEvent>false</AllDayEvent>
    <Label>0</Label>
    <ShowTimeAs>0</ShowTimeAs>
    <Remark/>
    <MeetingTypeID>1</MeetingTypeID>
    <UserID>057151433@GOV.IL</UserID>
    <ChangeDate>2023-04-27T09:57:35.257+03:00</ChangeDate>
    <MeetingMode>1</MeetingMode>
    <IsVCMeeting>false</IsVCMeeting>
  </dt_Meeting>
  <dt_MeetingUser>
    <MeetingID>87308450</MeetingID>
    <UserID>022982425@GOV.IL</UserID>
    <ExchangeGUID>36b00812-177e-4cb4-bf87-f8dbbefc8050.eml</ExchangeGUID>
    <OrdinalNumberID>0</OrdinalNumberID>
  </dt_MeetingUser>
  <dt_Sitting>
    <SittingID>95075937</SittingID>
    <MeetingID>87308450</MeetingID>
    <SittingTypeID>15</SittingTypeID>
    <CourtID>37</CourtID>
    <ActivatingMethodID>1</ActivatingMethodID>
    <SittingActivityStatusID>1</SittingActivityStatusID>
    <ChangeDate>2023-04-27T09:57:15.927+03:00</ChangeDate>
    <UserID>057151433@GOV.IL</UserID>
    <StartTime>11:35     </StartTime>
    <FinishTime>11:40     </FinishTime>
    <Remark/>
    <OrdinalNumber>0</OrdinalNumber>
    <RemarkSittingType>ע"י ב"כ עו"ד ליזט שובל</RemarkSittingType>
    <CreateDate>2023-04-27T09:57:16.783+03:00</CreateDate>
    <ProtocolSubjectID>0</ProtocolSubjectID>
    <CourtDisplayName>בית משפט לנוער בבית משפט השלום ברחובות</CourtDisplayName>
    <IsProtocolFirst>0</IsProtocolFirst>
    <IsProtocolNotFirst>true</IsProtocolNotFirst>
    <ReadingDate>01/07/2021</ReadingDate>
    <ReadingTime>08:30</ReadingTime>
    <AccusedAnswerDate/>
    <AccusedAnswerTime/>
    <ProofDate/>
    <ProofTime/>
    <CourtAddress>רוז'נסקי 9 רחובות</CourtAddress>
    <IsTitleCaseExists>0</IsTitleCaseExists>
    <ProtocolSubject/>
    <CaseTypeID>10048</CaseTypeID>
  </dt_Sitting>
  <dt_SittingCase>
    <SittingCaseID>96406006</SittingCaseID>
    <SittingID>95075937</SittingID>
    <CaseID>77987549</CaseID>
    <CaseDisplayIdentifier>63931-12-20</CaseDisplayIdentifier>
    <CaseName>פרקליטות מחוז מרכז - פלילי נ' סמליאנץ(קטין)</CaseName>
    <CaseTypeDesc>ת"פ</CaseTypeDesc>
    <CaseLinkType>-1</CaseLinkType>
  </dt_SittingCase>
  <dt_Case>
    <CaseName>פרקליטות מחוז מרכז - פלילי נ' סמליאנץ(קטין)</CaseName>
  </dt_Case>
  <dt_CasePartyA>
    <CasePartyID>220703928</CasePartyID>
    <GroupPartyAlias>מאשימה</GroupPartyAlias>
    <PartyAliasID>11</PartyAliasID>
    <OrdinalNumber/>
    <FullName>פרקליטות מחוז מרכז - פלילי</FullName>
    <FullNameAndRoleName>פרקליטות מחוז מרכז - פלילי</FullNameAndRoleName>
    <FirstName/>
    <LastName>פרקליטות מחוז מרכז - פלילי</LastName>
    <RoleName>מאשימה 1</RoleName>
    <TypeIdentifier>משרדי ממשלה</TypeIdentifier>
    <AuthenticationNumber>570001671</AuthenticationNumber>
    <CasePartyTypeID>1</CasePartyTypeID>
    <IsPublicationProhibited>false</IsPublicationProhibited>
  </dt_CasePartyA>
  <dt_CasePartyB>
    <CasePartyID>220703930</CasePartyID>
    <GroupPartyAlias>נאשמים</GroupPartyAlias>
    <PartyAliasID>13</PartyAliasID>
    <OrdinalNumber/>
    <FullName>אלון סמליאנץ (קטין)</FullName>
    <FullNameAndRoleName>אלון סמליאנץ (קטין)</FullNameAndRoleName>
    <FirstName>אלון</FirstName>
    <LastName>סמליאנץ</LastName>
    <RoleName>נאשם 1</RoleName>
    <TypeIdentifier>ת"ז</TypeIdentifier>
    <AuthenticationNumber>207553868</AuthenticationNumber>
    <CasePartyTypeID>1</CasePartyTypeID>
    <IsPublicationProhibited>false</IsPublicationProhibited>
  </dt_CasePartyB>
  <UserMetaData>
    <UserPrincipalName/>
    <DisplayName>שופט בן ציון קבלר</DisplayName>
    <UserIdentity>1</UserIdentity>
    <JudgeRoleName>שופט</JudgeRoleName>
  </UserMetaData>
  <dt_ExternalCase>
    <ExternalCaseID>71755066</ExternalCaseID>
    <ExternalCaseNumber>559323/2019</ExternalCaseNumber>
    <ExternalCaseTypeID>29</ExternalCaseTypeID>
    <ExternalCaseType>מספר פל"א</ExternalCaseType>
  </dt_ExternalCase>
  <dt_ExternalCase>
    <ExternalCaseID>71755069</ExternalCaseID>
    <ExternalCaseNumber>563859/2019</ExternalCaseNumber>
    <ExternalCaseTypeID>29</ExternalCaseTypeID>
    <ExternalCaseType>מספר פל"א</ExternalCaseType>
  </dt_ExternalCase>
</MeetingDS>
</file>

<file path=customXml/itemProps1.xml><?xml version="1.0" encoding="utf-8"?>
<ds:datastoreItem xmlns:ds="http://schemas.openxmlformats.org/officeDocument/2006/customXml" ds:itemID="{72E49C3E-D737-454C-804E-F813FC9CD3A5}">
  <ds:schemaRefs/>
</ds:datastoreItem>
</file>

<file path=customXml/itemProps2.xml><?xml version="1.0" encoding="utf-8"?>
<ds:datastoreItem xmlns:ds="http://schemas.openxmlformats.org/officeDocument/2006/customXml" ds:itemID="{D0117E3C-52BF-4480-8A95-3832FCC6472A}">
  <ds:schemaRefs/>
</ds:datastoreItem>
</file>

<file path=customXml/itemProps3.xml><?xml version="1.0" encoding="utf-8"?>
<ds:datastoreItem xmlns:ds="http://schemas.openxmlformats.org/officeDocument/2006/customXml" ds:itemID="{87A7261E-BF24-4FD9-9D6E-FA42176C32D8}">
  <ds:schemaRefs/>
</ds:datastoreItem>
</file>

<file path=customXml/itemProps4.xml><?xml version="1.0" encoding="utf-8"?>
<ds:datastoreItem xmlns:ds="http://schemas.openxmlformats.org/officeDocument/2006/customXml" ds:itemID="{F697D940-4E15-4079-9613-1214F29E942D}">
  <ds:schemaRefs/>
</ds:datastoreItem>
</file>

<file path=customXml/itemProps5.xml><?xml version="1.0" encoding="utf-8"?>
<ds:datastoreItem xmlns:ds="http://schemas.openxmlformats.org/officeDocument/2006/customXml" ds:itemID="{6693BCE3-C369-4DCD-B0EE-FE4DEDC939EE}">
  <ds:schemaRefs/>
</ds:datastoreItem>
</file>

<file path=customXml/itemProps6.xml><?xml version="1.0" encoding="utf-8"?>
<ds:datastoreItem xmlns:ds="http://schemas.openxmlformats.org/officeDocument/2006/customXml" ds:itemID="{E7B72E38-1036-4F9C-8158-2DD603CF6B7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3108</Words>
  <Characters>15544</Characters>
  <Application>Microsoft Office Word</Application>
  <DocSecurity>0</DocSecurity>
  <Lines>129</Lines>
  <Paragraphs>37</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מיכל דגן</cp:lastModifiedBy>
  <cp:revision>3</cp:revision>
  <cp:lastPrinted>2023-05-15T08:49:00Z</cp:lastPrinted>
  <dcterms:created xsi:type="dcterms:W3CDTF">2023-06-05T10:16:00Z</dcterms:created>
  <dcterms:modified xsi:type="dcterms:W3CDTF">2023-06-05T10:18:00Z</dcterms:modified>
</cp:coreProperties>
</file>